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kern w:val="0"/>
          <w:sz w:val="44"/>
          <w:szCs w:val="44"/>
        </w:rPr>
      </w:pPr>
      <w:r>
        <w:rPr>
          <w:rFonts w:hint="eastAsia" w:ascii="宋体" w:hAnsi="宋体" w:eastAsia="宋体" w:cs="宋体"/>
          <w:b/>
          <w:kern w:val="0"/>
          <w:sz w:val="44"/>
          <w:szCs w:val="44"/>
        </w:rPr>
        <w:t>吉林省价格鉴证与评估协会</w:t>
      </w:r>
    </w:p>
    <w:p>
      <w:pPr>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b/>
          <w:sz w:val="44"/>
          <w:szCs w:val="44"/>
        </w:rPr>
      </w:pPr>
      <w:r>
        <w:rPr>
          <w:rFonts w:hint="eastAsia" w:ascii="宋体" w:hAnsi="宋体" w:eastAsia="宋体" w:cs="宋体"/>
          <w:b/>
          <w:sz w:val="44"/>
          <w:szCs w:val="44"/>
        </w:rPr>
        <w:t>价格鉴证评估报告规则</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sz w:val="32"/>
          <w:szCs w:val="32"/>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第一章  总 则</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sz w:val="32"/>
          <w:szCs w:val="32"/>
        </w:rPr>
      </w:pP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w:t>
      </w:r>
      <w:r>
        <w:rPr>
          <w:rFonts w:hint="eastAsia" w:ascii="仿宋" w:hAnsi="仿宋" w:eastAsia="仿宋" w:cs="仿宋"/>
          <w:spacing w:val="-6"/>
          <w:sz w:val="32"/>
          <w:szCs w:val="32"/>
        </w:rPr>
        <w:t>为规范价格鉴证评估机构和价格鉴证评估师</w:t>
      </w:r>
      <w:r>
        <w:rPr>
          <w:rFonts w:hint="eastAsia" w:ascii="仿宋" w:hAnsi="仿宋" w:eastAsia="仿宋" w:cs="仿宋"/>
          <w:sz w:val="32"/>
          <w:szCs w:val="32"/>
        </w:rPr>
        <w:t>编制和出具</w:t>
      </w:r>
      <w:r>
        <w:rPr>
          <w:rFonts w:hint="eastAsia" w:ascii="仿宋" w:hAnsi="仿宋" w:eastAsia="仿宋" w:cs="仿宋"/>
          <w:spacing w:val="-6"/>
          <w:sz w:val="32"/>
          <w:szCs w:val="32"/>
        </w:rPr>
        <w:t>价格鉴证</w:t>
      </w:r>
      <w:r>
        <w:rPr>
          <w:rFonts w:hint="eastAsia" w:ascii="仿宋" w:hAnsi="仿宋" w:eastAsia="仿宋" w:cs="仿宋"/>
          <w:sz w:val="32"/>
          <w:szCs w:val="32"/>
        </w:rPr>
        <w:t>评估报告行为，维护社会</w:t>
      </w:r>
      <w:bookmarkStart w:id="0" w:name="_GoBack"/>
      <w:bookmarkEnd w:id="0"/>
      <w:r>
        <w:rPr>
          <w:rFonts w:hint="eastAsia" w:ascii="仿宋" w:hAnsi="仿宋" w:eastAsia="仿宋" w:cs="仿宋"/>
          <w:sz w:val="32"/>
          <w:szCs w:val="32"/>
        </w:rPr>
        <w:t>公共利益和</w:t>
      </w:r>
      <w:r>
        <w:rPr>
          <w:rFonts w:hint="eastAsia" w:ascii="仿宋" w:hAnsi="仿宋" w:eastAsia="仿宋" w:cs="仿宋"/>
          <w:spacing w:val="-6"/>
          <w:sz w:val="32"/>
          <w:szCs w:val="32"/>
        </w:rPr>
        <w:t>价格鉴证</w:t>
      </w:r>
      <w:r>
        <w:rPr>
          <w:rFonts w:hint="eastAsia" w:ascii="仿宋" w:hAnsi="仿宋" w:eastAsia="仿宋" w:cs="仿宋"/>
          <w:sz w:val="32"/>
          <w:szCs w:val="32"/>
        </w:rPr>
        <w:t>评估各方当事人合法权益，</w:t>
      </w:r>
      <w:r>
        <w:rPr>
          <w:rFonts w:hint="eastAsia" w:ascii="仿宋" w:hAnsi="仿宋" w:eastAsia="仿宋" w:cs="仿宋"/>
          <w:spacing w:val="-6"/>
          <w:sz w:val="32"/>
          <w:szCs w:val="32"/>
        </w:rPr>
        <w:t>根据《价格鉴证评估执业规则</w:t>
      </w:r>
      <w:r>
        <w:rPr>
          <w:rFonts w:hint="eastAsia" w:ascii="仿宋" w:hAnsi="仿宋" w:eastAsia="仿宋" w:cs="仿宋"/>
          <w:sz w:val="32"/>
          <w:szCs w:val="32"/>
        </w:rPr>
        <w:t>》，制定本规则。</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本规则所称价格鉴证评估报告，是指价格鉴证评估师根据</w:t>
      </w:r>
      <w:r>
        <w:rPr>
          <w:rFonts w:hint="eastAsia" w:ascii="仿宋" w:hAnsi="仿宋" w:eastAsia="仿宋" w:cs="仿宋"/>
          <w:spacing w:val="-6"/>
          <w:sz w:val="32"/>
          <w:szCs w:val="32"/>
        </w:rPr>
        <w:t>价格鉴证评估执业规则</w:t>
      </w:r>
      <w:r>
        <w:rPr>
          <w:rFonts w:hint="eastAsia" w:ascii="仿宋" w:hAnsi="仿宋" w:eastAsia="仿宋" w:cs="仿宋"/>
          <w:sz w:val="32"/>
          <w:szCs w:val="32"/>
        </w:rPr>
        <w:t>的要求，在履行必要价格鉴证评估程序后，对价格鉴证评估对象在价格鉴证评估基准日特定目的下的价值发表的、由其所在价格鉴证评估机构出具的书面专业意见。</w:t>
      </w:r>
    </w:p>
    <w:p>
      <w:pPr>
        <w:pStyle w:val="3"/>
        <w:keepNext w:val="0"/>
        <w:keepLines w:val="0"/>
        <w:pageBreakBefore w:val="0"/>
        <w:kinsoku/>
        <w:wordWrap/>
        <w:overflowPunct/>
        <w:topLinePunct w:val="0"/>
        <w:autoSpaceDE/>
        <w:autoSpaceDN/>
        <w:bidi w:val="0"/>
        <w:snapToGrid w:val="0"/>
        <w:spacing w:before="0" w:beforeAutospacing="0" w:after="0" w:afterAutospacing="0"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价格鉴证评估师执行价格鉴证评估业务，编制和出具价格鉴证评估报告，应当遵守本规则。</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价格鉴证评估师执行与价值估算相关的其他业务，出具价值分析报告或者其他专业意见，可以参照本规则。</w:t>
      </w:r>
    </w:p>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第二章  基本要求</w:t>
      </w:r>
    </w:p>
    <w:p>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价格鉴证评估师应当清晰、准确地陈述价格鉴证评估报告内容，不得使用误导性的表述。</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价格鉴证评估师应当在价格鉴证评估报告中提供必要信息，使价格鉴证评估报告使用者能够合理理解价格鉴证评估结论。</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价格鉴证评估师执行价格鉴证评估业务,可以根据价格鉴证评估对象的复杂程度、委托方要求，合理确定价格鉴证评估报告的详略程度。</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价格鉴证评估师执行价格鉴证评估业务，价格鉴证评估程序受到限制且无法排除，经与委托方协商后仍需出具价格鉴证评估报告的，应当在价格鉴证评估报告中说明价格鉴证评估程序受限情况及其对价格鉴证评估结论的影响，并明确价格鉴证评估报告的使用限制。</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价格鉴证评估报告应当由两名以上（含两名）价格鉴证评估师签字盖章，并由价格鉴证评估机构加盖公章。有限责任公司制价格鉴证评估机构的法定代表人或者合伙制价格鉴证评估机构负责该价格鉴证评估业务的合伙人应当在价格鉴证评估报告上签字。</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有限责任公司制评估机构的法定代表人可以授权首席评估师或者其他持有注册资产评估师证书的副总经理以上管理人员在评估报告上签字。</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价格鉴证评估报告应当使用中文撰写。需要同时出具外文价格鉴证评估报告的，以中文价格鉴证评估报告为准。</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价格鉴证评估报告一般以人民币为计量币种，使用其他币种计量的，应当注明该币种与人民币的汇率。</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kern w:val="0"/>
          <w:sz w:val="32"/>
          <w:szCs w:val="32"/>
          <w:lang w:val="zh-CN"/>
        </w:rPr>
      </w:pPr>
      <w:r>
        <w:rPr>
          <w:rFonts w:hint="eastAsia" w:ascii="仿宋" w:hAnsi="仿宋" w:eastAsia="仿宋" w:cs="仿宋"/>
          <w:b/>
          <w:sz w:val="32"/>
          <w:szCs w:val="32"/>
        </w:rPr>
        <w:t>第十一条</w:t>
      </w:r>
      <w:r>
        <w:rPr>
          <w:rFonts w:hint="eastAsia" w:ascii="仿宋" w:hAnsi="仿宋" w:eastAsia="仿宋" w:cs="仿宋"/>
          <w:sz w:val="32"/>
          <w:szCs w:val="32"/>
        </w:rPr>
        <w:t>　价格鉴证</w:t>
      </w:r>
      <w:r>
        <w:rPr>
          <w:rFonts w:hint="eastAsia" w:ascii="仿宋" w:hAnsi="仿宋" w:eastAsia="仿宋" w:cs="仿宋"/>
          <w:kern w:val="0"/>
          <w:sz w:val="32"/>
          <w:szCs w:val="32"/>
          <w:lang w:val="zh-CN"/>
        </w:rPr>
        <w:t>评估报告应当明确</w:t>
      </w:r>
      <w:r>
        <w:rPr>
          <w:rFonts w:hint="eastAsia" w:ascii="仿宋" w:hAnsi="仿宋" w:eastAsia="仿宋" w:cs="仿宋"/>
          <w:sz w:val="32"/>
          <w:szCs w:val="32"/>
        </w:rPr>
        <w:t>价格鉴证</w:t>
      </w:r>
      <w:r>
        <w:rPr>
          <w:rFonts w:hint="eastAsia" w:ascii="仿宋" w:hAnsi="仿宋" w:eastAsia="仿宋" w:cs="仿宋"/>
          <w:kern w:val="0"/>
          <w:sz w:val="32"/>
          <w:szCs w:val="32"/>
          <w:lang w:val="zh-CN"/>
        </w:rPr>
        <w:t>评估报告的使用有效期。通常，只有当</w:t>
      </w:r>
      <w:r>
        <w:rPr>
          <w:rFonts w:hint="eastAsia" w:ascii="仿宋" w:hAnsi="仿宋" w:eastAsia="仿宋" w:cs="仿宋"/>
          <w:sz w:val="32"/>
          <w:szCs w:val="32"/>
        </w:rPr>
        <w:t>价格鉴证</w:t>
      </w:r>
      <w:r>
        <w:rPr>
          <w:rFonts w:hint="eastAsia" w:ascii="仿宋" w:hAnsi="仿宋" w:eastAsia="仿宋" w:cs="仿宋"/>
          <w:kern w:val="0"/>
          <w:sz w:val="32"/>
          <w:szCs w:val="32"/>
          <w:lang w:val="zh-CN"/>
        </w:rPr>
        <w:t>评估基准日与经济行为实现日相距不超过一年时，才可以使用</w:t>
      </w:r>
      <w:r>
        <w:rPr>
          <w:rFonts w:hint="eastAsia" w:ascii="仿宋" w:hAnsi="仿宋" w:eastAsia="仿宋" w:cs="仿宋"/>
          <w:sz w:val="32"/>
          <w:szCs w:val="32"/>
        </w:rPr>
        <w:t>价格鉴证</w:t>
      </w:r>
      <w:r>
        <w:rPr>
          <w:rFonts w:hint="eastAsia" w:ascii="仿宋" w:hAnsi="仿宋" w:eastAsia="仿宋" w:cs="仿宋"/>
          <w:kern w:val="0"/>
          <w:sz w:val="32"/>
          <w:szCs w:val="32"/>
          <w:lang w:val="zh-CN"/>
        </w:rPr>
        <w:t>评估报告。</w:t>
      </w:r>
    </w:p>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 xml:space="preserve">第三章  </w:t>
      </w:r>
      <w:r>
        <w:rPr>
          <w:rFonts w:hint="eastAsia" w:ascii="仿宋" w:hAnsi="仿宋" w:eastAsia="仿宋" w:cs="仿宋"/>
          <w:sz w:val="32"/>
          <w:szCs w:val="32"/>
        </w:rPr>
        <w:t>价格鉴证</w:t>
      </w:r>
      <w:r>
        <w:rPr>
          <w:rFonts w:hint="eastAsia" w:ascii="仿宋" w:hAnsi="仿宋" w:eastAsia="仿宋" w:cs="仿宋"/>
          <w:b/>
          <w:sz w:val="32"/>
          <w:szCs w:val="32"/>
        </w:rPr>
        <w:t>评估报告的内容</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价格鉴证评估报告应当包括下列主要内容：</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color w:val="FF0000"/>
          <w:sz w:val="32"/>
          <w:szCs w:val="32"/>
        </w:rPr>
      </w:pPr>
      <w:r>
        <w:rPr>
          <w:rFonts w:hint="eastAsia" w:ascii="仿宋" w:hAnsi="仿宋" w:eastAsia="仿宋" w:cs="仿宋"/>
          <w:sz w:val="32"/>
          <w:szCs w:val="32"/>
        </w:rPr>
        <w:t>（一）标题及文号；</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（二）声明；</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（三）摘要；</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（四）正文；</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（五）附件。</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价格鉴证评估报告的声明应当包括以下内容：</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（一）价格鉴证评估师恪守独立、客观和公正的原则，遵循有关法律、法规和价格鉴证评估规则的规定，并承担相应的责任；</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（二）提醒价格鉴证评估报告使用者关注价格鉴证评估报告特别事项说明和使用限制；</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lang w:val="en-GB"/>
        </w:rPr>
      </w:pPr>
      <w:r>
        <w:rPr>
          <w:rFonts w:hint="eastAsia" w:ascii="仿宋" w:hAnsi="仿宋" w:eastAsia="仿宋" w:cs="仿宋"/>
          <w:sz w:val="32"/>
          <w:szCs w:val="32"/>
        </w:rPr>
        <w:t>（三）其他需要声明的内容。</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第十四条</w:t>
      </w:r>
      <w:r>
        <w:rPr>
          <w:rFonts w:hint="eastAsia" w:ascii="仿宋" w:hAnsi="仿宋" w:eastAsia="仿宋" w:cs="仿宋"/>
          <w:sz w:val="32"/>
          <w:szCs w:val="32"/>
        </w:rPr>
        <w:t>　价格鉴证评估报告摘要应当提供价格鉴证评估</w:t>
      </w:r>
      <w:r>
        <w:rPr>
          <w:rFonts w:hint="eastAsia" w:ascii="仿宋" w:hAnsi="仿宋" w:eastAsia="仿宋" w:cs="仿宋"/>
          <w:sz w:val="32"/>
          <w:szCs w:val="32"/>
          <w:lang w:val="en-GB"/>
        </w:rPr>
        <w:t>业务</w:t>
      </w:r>
      <w:r>
        <w:rPr>
          <w:rFonts w:hint="eastAsia" w:ascii="仿宋" w:hAnsi="仿宋" w:eastAsia="仿宋" w:cs="仿宋"/>
          <w:sz w:val="32"/>
          <w:szCs w:val="32"/>
        </w:rPr>
        <w:t>的主要信息及价格鉴证评估结论。</w:t>
      </w:r>
    </w:p>
    <w:p>
      <w:pPr>
        <w:keepNext w:val="0"/>
        <w:keepLines w:val="0"/>
        <w:pageBreakBefore w:val="0"/>
        <w:kinsoku/>
        <w:wordWrap/>
        <w:overflowPunct/>
        <w:topLinePunct w:val="0"/>
        <w:autoSpaceDE/>
        <w:autoSpaceDN/>
        <w:bidi w:val="0"/>
        <w:snapToGrid w:val="0"/>
        <w:spacing w:line="360" w:lineRule="auto"/>
        <w:ind w:firstLine="594"/>
        <w:textAlignment w:val="auto"/>
        <w:rPr>
          <w:rFonts w:hint="eastAsia"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价格鉴证评估报告正文应当包括：</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pacing w:val="-4"/>
          <w:sz w:val="32"/>
          <w:szCs w:val="32"/>
        </w:rPr>
        <w:t>委托方、产权持有者和委托方以外的其他</w:t>
      </w:r>
      <w:r>
        <w:rPr>
          <w:rFonts w:hint="eastAsia" w:ascii="仿宋" w:hAnsi="仿宋" w:eastAsia="仿宋" w:cs="仿宋"/>
          <w:sz w:val="32"/>
          <w:szCs w:val="32"/>
        </w:rPr>
        <w:t>价格鉴证</w:t>
      </w:r>
      <w:r>
        <w:rPr>
          <w:rFonts w:hint="eastAsia" w:ascii="仿宋" w:hAnsi="仿宋" w:eastAsia="仿宋" w:cs="仿宋"/>
          <w:spacing w:val="-4"/>
          <w:sz w:val="32"/>
          <w:szCs w:val="32"/>
        </w:rPr>
        <w:t>评估报告使用者；</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（二）价格鉴证评估目的； </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（三）价格鉴证评估对象和评估范围；</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（四）价格鉴证价值类型及其定义；</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（五）价格鉴证评估基准日；</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（六）价格鉴证评估依据；</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（七）价格鉴证评估方法；</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（八）价格鉴证评估程序实施过程和情况；</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（九）价格鉴证评估假设；</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（十）价格鉴证评估结论；</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（十一）特别事项说明；</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（十二）价格鉴证评估报告使用限制说明；</w:t>
      </w:r>
    </w:p>
    <w:p>
      <w:pPr>
        <w:keepNext w:val="0"/>
        <w:keepLines w:val="0"/>
        <w:pageBreakBefore w:val="0"/>
        <w:kinsoku/>
        <w:wordWrap/>
        <w:overflowPunct/>
        <w:topLinePunct w:val="0"/>
        <w:autoSpaceDE/>
        <w:autoSpaceDN/>
        <w:bidi w:val="0"/>
        <w:snapToGrid w:val="0"/>
        <w:spacing w:line="360" w:lineRule="auto"/>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（十三）价格鉴证评估报告日；</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（十四）价格鉴证评估师签字盖章，价格鉴证评估机构加盖公章，法定代表人或者其授权代表签字，合伙人签字。</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第十六条</w:t>
      </w:r>
      <w:r>
        <w:rPr>
          <w:rFonts w:hint="eastAsia" w:ascii="仿宋" w:hAnsi="仿宋" w:eastAsia="仿宋" w:cs="仿宋"/>
          <w:sz w:val="32"/>
          <w:szCs w:val="32"/>
        </w:rPr>
        <w:t>　价格鉴证评估报告使用者包括委托方、业务约定书中约定的其他价格鉴证评估报告使用者和国家法律、法规规定的价格鉴证评估报告使用者。</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xml:space="preserve">  价格鉴证评估报告载明的评估目的应当惟一，表述应当明确、清晰。</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第十八条</w:t>
      </w:r>
      <w:r>
        <w:rPr>
          <w:rFonts w:hint="eastAsia" w:ascii="仿宋" w:hAnsi="仿宋" w:eastAsia="仿宋" w:cs="仿宋"/>
          <w:sz w:val="32"/>
          <w:szCs w:val="32"/>
        </w:rPr>
        <w:t xml:space="preserve">  价格鉴证评估报告中应当载明价格鉴证评估对象和评估范围，并具体描述价格鉴证评估对象的基本情况，通常包括法律权属状况、经济状况和物理状况。</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第十九条</w:t>
      </w:r>
      <w:r>
        <w:rPr>
          <w:rFonts w:hint="eastAsia" w:ascii="仿宋" w:hAnsi="仿宋" w:eastAsia="仿宋" w:cs="仿宋"/>
          <w:sz w:val="32"/>
          <w:szCs w:val="32"/>
        </w:rPr>
        <w:t xml:space="preserve">  价格鉴证评估报告应当明确价格鉴证价值类型及其定义，并说明选择价值类型的理由。</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第二十条</w:t>
      </w:r>
      <w:r>
        <w:rPr>
          <w:rFonts w:hint="eastAsia" w:ascii="仿宋" w:hAnsi="仿宋" w:eastAsia="仿宋" w:cs="仿宋"/>
          <w:sz w:val="32"/>
          <w:szCs w:val="32"/>
        </w:rPr>
        <w:t xml:space="preserve">  价格鉴证评估报告应当载明价格鉴证评估基准日，并与业务合同书约定的价格鉴证评估基准日保持一致。价格鉴证评估报告应当说明选取价格鉴证评估基准日时重点考虑的因素。价格鉴证评估基准日可以是现在时点，也可以是过去或者将来的时点。</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第二十一条</w:t>
      </w:r>
      <w:r>
        <w:rPr>
          <w:rFonts w:hint="eastAsia" w:ascii="仿宋" w:hAnsi="仿宋" w:eastAsia="仿宋" w:cs="仿宋"/>
          <w:sz w:val="32"/>
          <w:szCs w:val="32"/>
        </w:rPr>
        <w:t xml:space="preserve">  价格鉴证评估报告应当说明评估遵循的法律依据、准则依据、权属依据及取价依据等。</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lang w:val="en-GB"/>
        </w:rPr>
      </w:pPr>
      <w:r>
        <w:rPr>
          <w:rFonts w:hint="eastAsia" w:ascii="仿宋" w:hAnsi="仿宋" w:eastAsia="仿宋" w:cs="仿宋"/>
          <w:b/>
          <w:sz w:val="32"/>
          <w:szCs w:val="32"/>
        </w:rPr>
        <w:t>第二十二条</w:t>
      </w:r>
      <w:r>
        <w:rPr>
          <w:rFonts w:hint="eastAsia" w:ascii="仿宋" w:hAnsi="仿宋" w:eastAsia="仿宋" w:cs="仿宋"/>
          <w:sz w:val="32"/>
          <w:szCs w:val="32"/>
        </w:rPr>
        <w:t xml:space="preserve">  价格鉴证评估报告应当说明所选用的价格鉴证评估方法及其理由。</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第二十三条</w:t>
      </w:r>
      <w:r>
        <w:rPr>
          <w:rFonts w:hint="eastAsia" w:ascii="仿宋" w:hAnsi="仿宋" w:eastAsia="仿宋" w:cs="仿宋"/>
          <w:sz w:val="32"/>
          <w:szCs w:val="32"/>
        </w:rPr>
        <w:t xml:space="preserve">  价格鉴证评估报告应当说明价格鉴证评估程序实施过程中现场调查、资料收集与分析、评定估算等主要内容。</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第二十四条</w:t>
      </w:r>
      <w:r>
        <w:rPr>
          <w:rFonts w:hint="eastAsia" w:ascii="仿宋" w:hAnsi="仿宋" w:eastAsia="仿宋" w:cs="仿宋"/>
          <w:sz w:val="32"/>
          <w:szCs w:val="32"/>
        </w:rPr>
        <w:t xml:space="preserve"> 价格鉴证评估报告应当披露价格鉴证评估假设及其对价格鉴证评估结论的影响。</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第二十五条</w:t>
      </w:r>
      <w:r>
        <w:rPr>
          <w:rFonts w:hint="eastAsia" w:ascii="仿宋" w:hAnsi="仿宋" w:eastAsia="仿宋" w:cs="仿宋"/>
          <w:sz w:val="32"/>
          <w:szCs w:val="32"/>
        </w:rPr>
        <w:t xml:space="preserve">  价格鉴证评估师应当在鉴证评估报告中以文字和数字形式清晰说明价格鉴证评估结论。</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通常价格鉴证评估结论应当是确定的数值。经与委托方沟通，评估结论可以使用区间值表达。</w:t>
      </w:r>
    </w:p>
    <w:p>
      <w:pPr>
        <w:keepNext w:val="0"/>
        <w:keepLines w:val="0"/>
        <w:pageBreakBefore w:val="0"/>
        <w:tabs>
          <w:tab w:val="left" w:pos="180"/>
        </w:tabs>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第二十六条</w:t>
      </w:r>
      <w:r>
        <w:rPr>
          <w:rFonts w:hint="eastAsia" w:ascii="仿宋" w:hAnsi="仿宋" w:eastAsia="仿宋" w:cs="仿宋"/>
          <w:sz w:val="32"/>
          <w:szCs w:val="32"/>
        </w:rPr>
        <w:t xml:space="preserve">  价格鉴证评估报告的特别事项说明通常包括下列内容：</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（一）产权瑕疵；</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（二）未决事项、法律纠纷等不确定因素；</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（三）重大期后事项；</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（四）在不违背价格鉴证评估规则基本要求的情况下，采用的不同于价格鉴证评估规则规定的程序和方法。</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价格鉴证评估师应当说明特别事项可能对价格鉴证评估结论产生的影响，并重点提示价格鉴证评估报告使用者予以关注。</w:t>
      </w:r>
    </w:p>
    <w:p>
      <w:pPr>
        <w:keepNext w:val="0"/>
        <w:keepLines w:val="0"/>
        <w:pageBreakBefore w:val="0"/>
        <w:tabs>
          <w:tab w:val="left" w:pos="180"/>
        </w:tabs>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第二十七条</w:t>
      </w:r>
      <w:r>
        <w:rPr>
          <w:rFonts w:hint="eastAsia" w:ascii="仿宋" w:hAnsi="仿宋" w:eastAsia="仿宋" w:cs="仿宋"/>
          <w:sz w:val="32"/>
          <w:szCs w:val="32"/>
        </w:rPr>
        <w:t xml:space="preserve"> 价格鉴证评估报告的使用限制说明通常包括下列内容：</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（一）价格鉴证评估报告只能用于价格鉴证评估报告载明的评估目的和用途；</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（二）价格鉴证评估报告只能由价格鉴证评估报告载明的价格鉴证评估报告使用者使用；</w:t>
      </w:r>
    </w:p>
    <w:p>
      <w:pPr>
        <w:pStyle w:val="2"/>
        <w:keepNext w:val="0"/>
        <w:keepLines w:val="0"/>
        <w:pageBreakBefore w:val="0"/>
        <w:tabs>
          <w:tab w:val="left" w:pos="180"/>
        </w:tabs>
        <w:kinsoku/>
        <w:wordWrap/>
        <w:overflowPunct/>
        <w:topLinePunct w:val="0"/>
        <w:autoSpaceDE/>
        <w:autoSpaceDN/>
        <w:bidi w:val="0"/>
        <w:snapToGrid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（三）未征得出具价格鉴证评估报告的价格鉴证评估机构同意，价格鉴证评估报告的内容不得被摘抄、引用或披露于公开媒体，法律、法规规定以及相关当事方另有约定的除外；</w:t>
      </w:r>
    </w:p>
    <w:p>
      <w:pPr>
        <w:pStyle w:val="2"/>
        <w:keepNext w:val="0"/>
        <w:keepLines w:val="0"/>
        <w:pageBreakBefore w:val="0"/>
        <w:tabs>
          <w:tab w:val="left" w:pos="180"/>
        </w:tabs>
        <w:kinsoku/>
        <w:wordWrap/>
        <w:overflowPunct/>
        <w:topLinePunct w:val="0"/>
        <w:autoSpaceDE/>
        <w:autoSpaceDN/>
        <w:bidi w:val="0"/>
        <w:snapToGrid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rPr>
        <w:t>（四）价格鉴证</w:t>
      </w:r>
      <w:r>
        <w:rPr>
          <w:rFonts w:hint="eastAsia" w:ascii="仿宋" w:hAnsi="仿宋" w:eastAsia="仿宋" w:cs="仿宋"/>
          <w:sz w:val="32"/>
          <w:szCs w:val="32"/>
          <w:lang w:val="zh-CN"/>
        </w:rPr>
        <w:t>评估报告的使用有效期；</w:t>
      </w:r>
    </w:p>
    <w:p>
      <w:pPr>
        <w:pStyle w:val="2"/>
        <w:keepNext w:val="0"/>
        <w:keepLines w:val="0"/>
        <w:pageBreakBefore w:val="0"/>
        <w:tabs>
          <w:tab w:val="left" w:pos="180"/>
        </w:tabs>
        <w:kinsoku/>
        <w:wordWrap/>
        <w:overflowPunct/>
        <w:topLinePunct w:val="0"/>
        <w:autoSpaceDE/>
        <w:autoSpaceDN/>
        <w:bidi w:val="0"/>
        <w:snapToGrid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（五）因</w:t>
      </w:r>
      <w:r>
        <w:rPr>
          <w:rFonts w:hint="eastAsia" w:ascii="仿宋" w:hAnsi="仿宋" w:eastAsia="仿宋" w:cs="仿宋"/>
          <w:sz w:val="32"/>
          <w:szCs w:val="32"/>
        </w:rPr>
        <w:t>价格鉴证</w:t>
      </w:r>
      <w:r>
        <w:rPr>
          <w:rFonts w:hint="eastAsia" w:ascii="仿宋" w:hAnsi="仿宋" w:eastAsia="仿宋" w:cs="仿宋"/>
          <w:sz w:val="32"/>
          <w:szCs w:val="32"/>
          <w:lang w:val="zh-CN"/>
        </w:rPr>
        <w:t>评估程序受限造成的</w:t>
      </w:r>
      <w:r>
        <w:rPr>
          <w:rFonts w:hint="eastAsia" w:ascii="仿宋" w:hAnsi="仿宋" w:eastAsia="仿宋" w:cs="仿宋"/>
          <w:sz w:val="32"/>
          <w:szCs w:val="32"/>
        </w:rPr>
        <w:t>价格鉴证</w:t>
      </w:r>
      <w:r>
        <w:rPr>
          <w:rFonts w:hint="eastAsia" w:ascii="仿宋" w:hAnsi="仿宋" w:eastAsia="仿宋" w:cs="仿宋"/>
          <w:sz w:val="32"/>
          <w:szCs w:val="32"/>
          <w:lang w:val="zh-CN"/>
        </w:rPr>
        <w:t>评估报告的使用限制。</w:t>
      </w:r>
    </w:p>
    <w:p>
      <w:pPr>
        <w:keepNext w:val="0"/>
        <w:keepLines w:val="0"/>
        <w:pageBreakBefore w:val="0"/>
        <w:tabs>
          <w:tab w:val="left" w:pos="180"/>
        </w:tabs>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第二十八条</w:t>
      </w:r>
      <w:r>
        <w:rPr>
          <w:rFonts w:hint="eastAsia" w:ascii="仿宋" w:hAnsi="仿宋" w:eastAsia="仿宋" w:cs="仿宋"/>
          <w:sz w:val="32"/>
          <w:szCs w:val="32"/>
        </w:rPr>
        <w:t xml:space="preserve"> 价格鉴证评估报告载明的价格鉴证评估报告日通常为价格鉴证评估师形成最终专业意见的日期。</w:t>
      </w:r>
    </w:p>
    <w:p>
      <w:pPr>
        <w:keepNext w:val="0"/>
        <w:keepLines w:val="0"/>
        <w:pageBreakBefore w:val="0"/>
        <w:tabs>
          <w:tab w:val="left" w:pos="180"/>
        </w:tabs>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第二十九条</w:t>
      </w:r>
      <w:r>
        <w:rPr>
          <w:rFonts w:hint="eastAsia" w:ascii="仿宋" w:hAnsi="仿宋" w:eastAsia="仿宋" w:cs="仿宋"/>
          <w:sz w:val="32"/>
          <w:szCs w:val="32"/>
        </w:rPr>
        <w:t xml:space="preserve">  价格鉴证评估报告附件通常包括：</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（一）价格鉴证评估对象所涉及的主要权属证明资料；</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（二）委托方和相关当事方的承诺函；</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（三）价格鉴证评估机构及签字价格鉴证评估师执业资格、资格证明文件；</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（四）价格鉴证评估对象涉及的财物（资产）、物资清单或财物（资产）、物资汇总表。</w:t>
      </w:r>
    </w:p>
    <w:p>
      <w:pPr>
        <w:keepNext w:val="0"/>
        <w:keepLines w:val="0"/>
        <w:pageBreakBefore w:val="0"/>
        <w:tabs>
          <w:tab w:val="left" w:pos="180"/>
        </w:tabs>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第四章 附  则</w:t>
      </w:r>
    </w:p>
    <w:p>
      <w:pPr>
        <w:keepNext w:val="0"/>
        <w:keepLines w:val="0"/>
        <w:pageBreakBefore w:val="0"/>
        <w:kinsoku/>
        <w:wordWrap/>
        <w:overflowPunct/>
        <w:topLinePunct w:val="0"/>
        <w:autoSpaceDE/>
        <w:autoSpaceDN/>
        <w:bidi w:val="0"/>
        <w:snapToGrid w:val="0"/>
        <w:spacing w:line="360" w:lineRule="auto"/>
        <w:ind w:firstLine="2891" w:firstLineChars="900"/>
        <w:textAlignment w:val="auto"/>
        <w:rPr>
          <w:rFonts w:hint="eastAsia" w:ascii="仿宋" w:hAnsi="仿宋" w:eastAsia="仿宋" w:cs="仿宋"/>
          <w:b/>
          <w:sz w:val="32"/>
          <w:szCs w:val="32"/>
        </w:rPr>
      </w:pPr>
    </w:p>
    <w:p>
      <w:pPr>
        <w:keepNext w:val="0"/>
        <w:keepLines w:val="0"/>
        <w:pageBreakBefore w:val="0"/>
        <w:widowControl/>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第三十条</w:t>
      </w:r>
      <w:r>
        <w:rPr>
          <w:rFonts w:hint="eastAsia" w:ascii="仿宋" w:hAnsi="仿宋" w:eastAsia="仿宋" w:cs="仿宋"/>
          <w:sz w:val="32"/>
          <w:szCs w:val="32"/>
        </w:rPr>
        <w:t xml:space="preserve">  吉林省价格鉴证与评估协会负责解释。</w:t>
      </w:r>
    </w:p>
    <w:p>
      <w:pPr>
        <w:keepNext w:val="0"/>
        <w:keepLines w:val="0"/>
        <w:pageBreakBefore w:val="0"/>
        <w:widowControl/>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第三十一条  </w:t>
      </w:r>
      <w:r>
        <w:rPr>
          <w:rFonts w:hint="eastAsia" w:ascii="仿宋" w:hAnsi="仿宋" w:eastAsia="仿宋" w:cs="仿宋"/>
          <w:sz w:val="32"/>
          <w:szCs w:val="32"/>
        </w:rPr>
        <w:t>本准则自</w:t>
      </w:r>
      <w:r>
        <w:rPr>
          <w:rFonts w:hint="eastAsia" w:ascii="仿宋" w:hAnsi="仿宋" w:eastAsia="仿宋" w:cs="仿宋"/>
          <w:color w:val="070707"/>
          <w:kern w:val="0"/>
          <w:sz w:val="32"/>
          <w:szCs w:val="32"/>
        </w:rPr>
        <w:t>公布之日起施行</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snapToGrid w:val="0"/>
        <w:spacing w:line="360" w:lineRule="auto"/>
        <w:textAlignment w:val="auto"/>
      </w:pPr>
      <w:r>
        <w:rPr>
          <w:rFonts w:hint="eastAsia" w:ascii="仿宋" w:hAnsi="仿宋" w:eastAsia="仿宋" w:cs="仿宋"/>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A6756"/>
    <w:rsid w:val="673A6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uiPriority w:val="99"/>
    <w:pPr>
      <w:widowControl/>
      <w:spacing w:before="100" w:beforeAutospacing="1" w:after="100" w:afterAutospacing="1"/>
      <w:jc w:val="left"/>
    </w:pPr>
    <w:rPr>
      <w:rFonts w:ascii="宋体" w:hAnsi="宋体" w:cs="宋体"/>
      <w:kern w:val="0"/>
      <w:szCs w:val="24"/>
    </w:rPr>
  </w:style>
  <w:style w:type="paragraph" w:styleId="3">
    <w:name w:val="Plain Text"/>
    <w:basedOn w:val="1"/>
    <w:unhideWhenUsed/>
    <w:qFormat/>
    <w:uiPriority w:val="99"/>
    <w:pPr>
      <w:widowControl/>
      <w:spacing w:before="100" w:beforeAutospacing="1" w:after="100" w:afterAutospacing="1"/>
      <w:jc w:val="left"/>
    </w:pPr>
    <w:rPr>
      <w:rFonts w:ascii="宋体" w:hAnsi="宋体" w:cs="宋体"/>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2019-09-12T06:37:00Z</dcterms:created>
  <dc:creator>带刺的玫瑰</dc:creator>
  <cp:lastModifiedBy>带刺的玫瑰</cp:lastModifiedBy>
  <dcterms:modified xsi:type="dcterms:W3CDTF">2019-09-12T06:38:19Z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