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rPr>
      </w:pPr>
      <w:bookmarkStart w:id="0" w:name="_GoBack"/>
      <w:bookmarkEnd w:id="0"/>
      <w:r>
        <w:rPr>
          <w:rFonts w:hint="eastAsia" w:ascii="仿宋" w:hAnsi="仿宋" w:eastAsia="仿宋" w:cs="仿宋"/>
          <w:sz w:val="32"/>
          <w:szCs w:val="32"/>
          <w:lang w:val="en-US"/>
        </w:rPr>
        <w:t>附件：</w:t>
      </w:r>
    </w:p>
    <w:p>
      <w:pPr>
        <w:keepNext w:val="0"/>
        <w:keepLines w:val="0"/>
        <w:pageBreakBefore w:val="0"/>
        <w:widowControl w:val="0"/>
        <w:kinsoku/>
        <w:wordWrap/>
        <w:overflowPunct/>
        <w:topLinePunct w:val="0"/>
        <w:autoSpaceDE/>
        <w:autoSpaceDN/>
        <w:bidi w:val="0"/>
        <w:adjustRightInd/>
        <w:snapToGrid/>
        <w:spacing w:line="360" w:lineRule="auto"/>
        <w:ind w:firstLine="964" w:firstLineChars="200"/>
        <w:jc w:val="center"/>
        <w:textAlignment w:val="auto"/>
        <w:rPr>
          <w:rFonts w:hint="eastAsia" w:ascii="仿宋" w:hAnsi="仿宋" w:eastAsia="仿宋" w:cs="仿宋"/>
          <w:b/>
          <w:bCs/>
          <w:sz w:val="48"/>
          <w:szCs w:val="48"/>
          <w:lang w:val="en-US"/>
        </w:rPr>
      </w:pPr>
      <w:r>
        <w:rPr>
          <w:rFonts w:hint="eastAsia" w:ascii="仿宋" w:hAnsi="仿宋" w:eastAsia="仿宋" w:cs="仿宋"/>
          <w:b/>
          <w:bCs/>
          <w:sz w:val="48"/>
          <w:szCs w:val="48"/>
          <w:lang w:val="en-US"/>
        </w:rPr>
        <w:t>吉林省价格鉴证与评估协会</w:t>
      </w:r>
    </w:p>
    <w:p>
      <w:pPr>
        <w:keepNext w:val="0"/>
        <w:keepLines w:val="0"/>
        <w:pageBreakBefore w:val="0"/>
        <w:widowControl w:val="0"/>
        <w:kinsoku/>
        <w:wordWrap/>
        <w:overflowPunct/>
        <w:topLinePunct w:val="0"/>
        <w:autoSpaceDE/>
        <w:autoSpaceDN/>
        <w:bidi w:val="0"/>
        <w:adjustRightInd/>
        <w:snapToGrid/>
        <w:spacing w:line="360" w:lineRule="auto"/>
        <w:ind w:firstLine="964" w:firstLineChars="200"/>
        <w:jc w:val="center"/>
        <w:textAlignment w:val="auto"/>
        <w:rPr>
          <w:rFonts w:hint="eastAsia" w:ascii="仿宋" w:hAnsi="仿宋" w:eastAsia="仿宋" w:cs="仿宋"/>
          <w:b/>
          <w:bCs/>
          <w:sz w:val="48"/>
          <w:szCs w:val="48"/>
          <w:lang w:val="en-US"/>
        </w:rPr>
      </w:pPr>
      <w:r>
        <w:rPr>
          <w:rFonts w:hint="eastAsia" w:ascii="仿宋" w:hAnsi="仿宋" w:eastAsia="仿宋" w:cs="仿宋"/>
          <w:b/>
          <w:bCs/>
          <w:sz w:val="48"/>
          <w:szCs w:val="48"/>
          <w:lang w:val="en-US"/>
        </w:rPr>
        <w:t>价格鉴证评估项目收费参考意见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第一章  总 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第一条</w:t>
      </w:r>
      <w:r>
        <w:rPr>
          <w:rFonts w:hint="eastAsia" w:ascii="仿宋" w:hAnsi="仿宋" w:eastAsia="仿宋" w:cs="仿宋"/>
          <w:sz w:val="32"/>
          <w:szCs w:val="32"/>
          <w:lang w:val="en-US"/>
        </w:rPr>
        <w:t>  坚持贯彻国家关于价格评估收费实行市场调节的规定，坚持对价格评估收费采取市场协商办法。为了遏制</w:t>
      </w:r>
      <w:r>
        <w:rPr>
          <w:rFonts w:hint="eastAsia" w:ascii="仿宋" w:hAnsi="仿宋" w:eastAsia="仿宋" w:cs="仿宋"/>
          <w:sz w:val="32"/>
          <w:szCs w:val="32"/>
          <w:lang w:val="en-US"/>
        </w:rPr>
        <w:t>价格评估收费漫天要价、恶意压价无序竞争现象，</w:t>
      </w:r>
      <w:r>
        <w:rPr>
          <w:rFonts w:hint="eastAsia" w:ascii="仿宋" w:hAnsi="仿宋" w:eastAsia="仿宋" w:cs="仿宋"/>
          <w:sz w:val="32"/>
          <w:szCs w:val="32"/>
          <w:lang w:val="en-US"/>
        </w:rPr>
        <w:t>规范价格鉴证评估服务项目的收费行为，维护委托人和价格鉴证评估服务单位的合法权益，特制定本参考意见。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第二条</w:t>
      </w:r>
      <w:r>
        <w:rPr>
          <w:rFonts w:hint="eastAsia" w:ascii="仿宋" w:hAnsi="仿宋" w:eastAsia="仿宋" w:cs="仿宋"/>
          <w:sz w:val="32"/>
          <w:szCs w:val="32"/>
          <w:lang w:val="en-US"/>
        </w:rPr>
        <w:t>  本意见适用于吉林省价格鉴证与评估协会（以下简称协会）登记的价格评估机构、专家委员会开展价格鉴证评估业务项目,收取相关费用的参考依据。</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第三条</w:t>
      </w:r>
      <w:r>
        <w:rPr>
          <w:rFonts w:hint="eastAsia" w:ascii="仿宋" w:hAnsi="仿宋" w:eastAsia="仿宋" w:cs="仿宋"/>
          <w:color w:val="000000" w:themeColor="text1"/>
          <w:kern w:val="0"/>
          <w:sz w:val="32"/>
          <w:szCs w:val="32"/>
          <w14:textFill>
            <w14:solidFill>
              <w14:schemeClr w14:val="tx1"/>
            </w14:solidFill>
          </w14:textFill>
        </w:rPr>
        <w:t>  价格评估机构提供业务技术服务，应符合国家经济技术政策、规定，遵循价格鉴证评估程序、规则、方法客观科学地进行。</w:t>
      </w:r>
    </w:p>
    <w:p>
      <w:pPr>
        <w:pStyle w:val="2"/>
        <w:spacing w:before="0" w:beforeAutospacing="0" w:after="0" w:afterAutospacing="0"/>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第四条  </w:t>
      </w:r>
      <w:r>
        <w:rPr>
          <w:rFonts w:hint="eastAsia" w:ascii="仿宋" w:hAnsi="仿宋" w:eastAsia="仿宋" w:cs="仿宋"/>
          <w:color w:val="000000" w:themeColor="text1"/>
          <w:sz w:val="32"/>
          <w:szCs w:val="32"/>
          <w14:textFill>
            <w14:solidFill>
              <w14:schemeClr w14:val="tx1"/>
            </w14:solidFill>
          </w14:textFill>
        </w:rPr>
        <w:t>价格鉴证评估收费应当遵循市场调节，公开、公平、公正、自愿有偿、诚实信用和委托方付费的原则。</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第五条</w:t>
      </w:r>
      <w:r>
        <w:rPr>
          <w:rFonts w:hint="eastAsia" w:ascii="仿宋" w:hAnsi="仿宋" w:eastAsia="仿宋" w:cs="仿宋"/>
          <w:color w:val="000000" w:themeColor="text1"/>
          <w:kern w:val="0"/>
          <w:sz w:val="32"/>
          <w:szCs w:val="32"/>
          <w14:textFill>
            <w14:solidFill>
              <w14:schemeClr w14:val="tx1"/>
            </w14:solidFill>
          </w14:textFill>
        </w:rPr>
        <w:t>  本意见中的价格鉴证评估项目是指对有形财产和无形财产进行价格鉴证评估,涉及的物资、资产、产品的数量核查；市场价格调查；专家论证项目。</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第六条</w:t>
      </w:r>
      <w:r>
        <w:rPr>
          <w:rFonts w:hint="eastAsia" w:ascii="仿宋" w:hAnsi="仿宋" w:eastAsia="仿宋" w:cs="仿宋"/>
          <w:color w:val="000000" w:themeColor="text1"/>
          <w:kern w:val="0"/>
          <w:sz w:val="32"/>
          <w:szCs w:val="32"/>
          <w14:textFill>
            <w14:solidFill>
              <w14:schemeClr w14:val="tx1"/>
            </w14:solidFill>
          </w14:textFill>
        </w:rPr>
        <w:t>  本意见制定的主要依据包括：</w:t>
      </w:r>
    </w:p>
    <w:p>
      <w:pPr>
        <w:widowControl/>
        <w:shd w:val="clear" w:color="auto" w:fill="FFFFFF"/>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（一）《中华人民共和国价格法》；</w:t>
      </w:r>
    </w:p>
    <w:p>
      <w:pPr>
        <w:widowControl/>
        <w:shd w:val="clear" w:color="auto" w:fill="FFFFFF"/>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（二）《中华人民共和国资产评估法》；</w:t>
      </w:r>
    </w:p>
    <w:p>
      <w:pPr>
        <w:widowControl/>
        <w:shd w:val="clear" w:color="auto" w:fill="FFFFFF"/>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（三）《森林资源资产评估管理暂行规定》（财政部、国家林业局财企[2006]529号）；</w:t>
      </w:r>
    </w:p>
    <w:p>
      <w:pPr>
        <w:widowControl/>
        <w:shd w:val="clear" w:color="auto" w:fill="FFFFFF"/>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（四）《国家计委、建设部关于发布&lt;工程勘察设计收费管理规定&gt;的通知》（计价格</w:t>
      </w:r>
      <w:r>
        <w:rPr>
          <w:rFonts w:hint="eastAsia" w:ascii="仿宋" w:hAnsi="仿宋" w:eastAsia="仿宋" w:cs="仿宋"/>
          <w:color w:val="000000" w:themeColor="text1"/>
          <w:sz w:val="32"/>
          <w:szCs w:val="32"/>
          <w14:textFill>
            <w14:solidFill>
              <w14:schemeClr w14:val="tx1"/>
            </w14:solidFill>
          </w14:textFill>
        </w:rPr>
        <w:t>〔2002〕</w:t>
      </w:r>
      <w:r>
        <w:rPr>
          <w:rFonts w:hint="eastAsia" w:ascii="仿宋" w:hAnsi="仿宋" w:eastAsia="仿宋" w:cs="仿宋"/>
          <w:color w:val="000000" w:themeColor="text1"/>
          <w:kern w:val="0"/>
          <w:sz w:val="32"/>
          <w:szCs w:val="32"/>
          <w14:textFill>
            <w14:solidFill>
              <w14:schemeClr w14:val="tx1"/>
            </w14:solidFill>
          </w14:textFill>
        </w:rPr>
        <w:t>10号）；</w:t>
      </w:r>
    </w:p>
    <w:p>
      <w:pPr>
        <w:widowControl/>
        <w:shd w:val="clear" w:color="auto" w:fill="FFFFFF"/>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（五）《国家计委关于印发建设项目前期工作咨询收费暂行规定的通知（计价格</w:t>
      </w:r>
      <w:r>
        <w:rPr>
          <w:rFonts w:hint="eastAsia" w:ascii="仿宋" w:hAnsi="仿宋" w:eastAsia="仿宋" w:cs="仿宋"/>
          <w:color w:val="000000" w:themeColor="text1"/>
          <w:sz w:val="32"/>
          <w:szCs w:val="32"/>
          <w14:textFill>
            <w14:solidFill>
              <w14:schemeClr w14:val="tx1"/>
            </w14:solidFill>
          </w14:textFill>
        </w:rPr>
        <w:t>〔1999〕</w:t>
      </w:r>
      <w:r>
        <w:rPr>
          <w:rFonts w:hint="eastAsia" w:ascii="仿宋" w:hAnsi="仿宋" w:eastAsia="仿宋" w:cs="仿宋"/>
          <w:color w:val="000000" w:themeColor="text1"/>
          <w:kern w:val="0"/>
          <w:sz w:val="32"/>
          <w:szCs w:val="32"/>
          <w14:textFill>
            <w14:solidFill>
              <w14:schemeClr w14:val="tx1"/>
            </w14:solidFill>
          </w14:textFill>
        </w:rPr>
        <w:t>1283）》</w:t>
      </w:r>
    </w:p>
    <w:p>
      <w:pPr>
        <w:widowControl/>
        <w:shd w:val="clear" w:color="auto" w:fill="FFFFFF"/>
        <w:spacing w:line="480" w:lineRule="auto"/>
        <w:ind w:firstLine="700" w:firstLineChars="200"/>
        <w:jc w:val="left"/>
        <w:rPr>
          <w:rFonts w:ascii="仿宋" w:hAnsi="仿宋" w:eastAsia="仿宋" w:cs="仿宋"/>
          <w:color w:val="000000" w:themeColor="text1"/>
          <w:spacing w:val="15"/>
          <w:kern w:val="0"/>
          <w:sz w:val="32"/>
          <w:szCs w:val="32"/>
          <w14:textFill>
            <w14:solidFill>
              <w14:schemeClr w14:val="tx1"/>
            </w14:solidFill>
          </w14:textFill>
        </w:rPr>
      </w:pPr>
      <w:r>
        <w:rPr>
          <w:rFonts w:hint="eastAsia" w:ascii="仿宋" w:hAnsi="仿宋" w:eastAsia="仿宋" w:cs="仿宋"/>
          <w:color w:val="000000" w:themeColor="text1"/>
          <w:spacing w:val="15"/>
          <w:kern w:val="0"/>
          <w:sz w:val="32"/>
          <w:szCs w:val="32"/>
          <w14:textFill>
            <w14:solidFill>
              <w14:schemeClr w14:val="tx1"/>
            </w14:solidFill>
          </w14:textFill>
        </w:rPr>
        <w:t>（六）国家发展改革委、财政部关于发布《资产评估收费管理办法》的通知（发改价格[2009]2914号）</w:t>
      </w:r>
    </w:p>
    <w:p>
      <w:pPr>
        <w:widowControl/>
        <w:shd w:val="clear" w:color="auto" w:fill="FFFFFF"/>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（七）中国林业工程建设协会《林业行业调查规划项目收费指导意见（试行）》（林建协﹝2014﹞17号）；</w:t>
      </w:r>
    </w:p>
    <w:p>
      <w:pPr>
        <w:widowControl/>
        <w:shd w:val="clear" w:color="auto" w:fill="FFFFFF"/>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（八）《关于发布城市规划设计计费指导意见的通知》（2004中规协秘字第022号）；</w:t>
      </w:r>
    </w:p>
    <w:p>
      <w:pPr>
        <w:widowControl/>
        <w:shd w:val="clear" w:color="auto" w:fill="FFFFFF"/>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（九）《工程设计、工程勘察收费标准》（计价格</w:t>
      </w:r>
      <w:r>
        <w:rPr>
          <w:rFonts w:hint="eastAsia" w:ascii="仿宋" w:hAnsi="仿宋" w:eastAsia="仿宋" w:cs="仿宋"/>
          <w:color w:val="000000" w:themeColor="text1"/>
          <w:sz w:val="32"/>
          <w:szCs w:val="32"/>
          <w14:textFill>
            <w14:solidFill>
              <w14:schemeClr w14:val="tx1"/>
            </w14:solidFill>
          </w14:textFill>
        </w:rPr>
        <w:t>〔2002〕</w:t>
      </w:r>
      <w:r>
        <w:rPr>
          <w:rFonts w:hint="eastAsia" w:ascii="仿宋" w:hAnsi="仿宋" w:eastAsia="仿宋" w:cs="仿宋"/>
          <w:color w:val="000000" w:themeColor="text1"/>
          <w:kern w:val="0"/>
          <w:sz w:val="32"/>
          <w:szCs w:val="32"/>
          <w14:textFill>
            <w14:solidFill>
              <w14:schemeClr w14:val="tx1"/>
            </w14:solidFill>
          </w14:textFill>
        </w:rPr>
        <w:t>10号）；</w:t>
      </w:r>
    </w:p>
    <w:p>
      <w:pPr>
        <w:widowControl/>
        <w:shd w:val="clear" w:color="auto" w:fill="FFFFFF"/>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（十）《关于放开和下放部分商品和服务价格的通知》（计价格</w:t>
      </w:r>
      <w:r>
        <w:rPr>
          <w:rFonts w:hint="eastAsia" w:ascii="仿宋" w:hAnsi="仿宋" w:eastAsia="仿宋" w:cs="仿宋"/>
          <w:color w:val="000000" w:themeColor="text1"/>
          <w:sz w:val="32"/>
          <w:szCs w:val="32"/>
          <w14:textFill>
            <w14:solidFill>
              <w14:schemeClr w14:val="tx1"/>
            </w14:solidFill>
          </w14:textFill>
        </w:rPr>
        <w:t>〔2001〕</w:t>
      </w:r>
      <w:r>
        <w:rPr>
          <w:rFonts w:hint="eastAsia" w:ascii="仿宋" w:hAnsi="仿宋" w:eastAsia="仿宋" w:cs="仿宋"/>
          <w:color w:val="000000" w:themeColor="text1"/>
          <w:kern w:val="0"/>
          <w:sz w:val="32"/>
          <w:szCs w:val="32"/>
          <w14:textFill>
            <w14:solidFill>
              <w14:schemeClr w14:val="tx1"/>
            </w14:solidFill>
          </w14:textFill>
        </w:rPr>
        <w:t>1218号）；</w:t>
      </w:r>
    </w:p>
    <w:p>
      <w:pPr>
        <w:widowControl/>
        <w:shd w:val="clear" w:color="auto" w:fill="FFFFFF"/>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（十一）《中央和国家机关差旅费管理办法》（财行</w:t>
      </w:r>
      <w:r>
        <w:rPr>
          <w:rFonts w:hint="eastAsia" w:ascii="仿宋" w:hAnsi="仿宋" w:eastAsia="仿宋" w:cs="仿宋"/>
          <w:color w:val="000000" w:themeColor="text1"/>
          <w:sz w:val="32"/>
          <w:szCs w:val="32"/>
          <w14:textFill>
            <w14:solidFill>
              <w14:schemeClr w14:val="tx1"/>
            </w14:solidFill>
          </w14:textFill>
        </w:rPr>
        <w:t>〔2013〕</w:t>
      </w:r>
      <w:r>
        <w:rPr>
          <w:rFonts w:hint="eastAsia" w:ascii="仿宋" w:hAnsi="仿宋" w:eastAsia="仿宋" w:cs="仿宋"/>
          <w:color w:val="000000" w:themeColor="text1"/>
          <w:kern w:val="0"/>
          <w:sz w:val="32"/>
          <w:szCs w:val="32"/>
          <w14:textFill>
            <w14:solidFill>
              <w14:schemeClr w14:val="tx1"/>
            </w14:solidFill>
          </w14:textFill>
        </w:rPr>
        <w:t>531号）；</w:t>
      </w:r>
    </w:p>
    <w:p>
      <w:pPr>
        <w:widowControl/>
        <w:shd w:val="clear" w:color="auto" w:fill="FFFFFF"/>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（十二）《占用征用林地审核审批管理办法》（国家林业局令</w:t>
      </w:r>
      <w:r>
        <w:rPr>
          <w:rFonts w:hint="eastAsia" w:ascii="仿宋" w:hAnsi="仿宋" w:eastAsia="仿宋" w:cs="仿宋"/>
          <w:color w:val="000000" w:themeColor="text1"/>
          <w:sz w:val="32"/>
          <w:szCs w:val="32"/>
          <w14:textFill>
            <w14:solidFill>
              <w14:schemeClr w14:val="tx1"/>
            </w14:solidFill>
          </w14:textFill>
        </w:rPr>
        <w:t>〔2001〕</w:t>
      </w:r>
      <w:r>
        <w:rPr>
          <w:rFonts w:hint="eastAsia" w:ascii="仿宋" w:hAnsi="仿宋" w:eastAsia="仿宋" w:cs="仿宋"/>
          <w:color w:val="000000" w:themeColor="text1"/>
          <w:kern w:val="0"/>
          <w:sz w:val="32"/>
          <w:szCs w:val="32"/>
          <w14:textFill>
            <w14:solidFill>
              <w14:schemeClr w14:val="tx1"/>
            </w14:solidFill>
          </w14:textFill>
        </w:rPr>
        <w:t>第2号）；</w:t>
      </w:r>
    </w:p>
    <w:p>
      <w:pPr>
        <w:widowControl/>
        <w:shd w:val="clear" w:color="auto" w:fill="FFFFFF"/>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（十三）《使用林地可行性报告编写规范》（林资发</w:t>
      </w:r>
      <w:r>
        <w:rPr>
          <w:rFonts w:hint="eastAsia" w:ascii="仿宋" w:hAnsi="仿宋" w:eastAsia="仿宋" w:cs="仿宋"/>
          <w:color w:val="000000" w:themeColor="text1"/>
          <w:sz w:val="32"/>
          <w:szCs w:val="32"/>
          <w14:textFill>
            <w14:solidFill>
              <w14:schemeClr w14:val="tx1"/>
            </w14:solidFill>
          </w14:textFill>
        </w:rPr>
        <w:t>〔2002〕</w:t>
      </w:r>
      <w:r>
        <w:rPr>
          <w:rFonts w:hint="eastAsia" w:ascii="仿宋" w:hAnsi="仿宋" w:eastAsia="仿宋" w:cs="仿宋"/>
          <w:color w:val="000000" w:themeColor="text1"/>
          <w:kern w:val="0"/>
          <w:sz w:val="32"/>
          <w:szCs w:val="32"/>
          <w14:textFill>
            <w14:solidFill>
              <w14:schemeClr w14:val="tx1"/>
            </w14:solidFill>
          </w14:textFill>
        </w:rPr>
        <w:t>237号）；</w:t>
      </w:r>
    </w:p>
    <w:p>
      <w:pPr>
        <w:widowControl/>
        <w:shd w:val="clear" w:color="auto" w:fill="FFFFFF"/>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（十四）《森林资源规划设计调查技术规程》（GBT 26424-2010）；</w:t>
      </w:r>
    </w:p>
    <w:p>
      <w:pPr>
        <w:widowControl/>
        <w:shd w:val="clear" w:color="auto" w:fill="FFFFFF"/>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（十五）《自然保护区综合科学考察规程》（试行）（环函</w:t>
      </w:r>
      <w:r>
        <w:rPr>
          <w:rFonts w:hint="eastAsia" w:ascii="仿宋" w:hAnsi="仿宋" w:eastAsia="仿宋" w:cs="仿宋"/>
          <w:color w:val="000000" w:themeColor="text1"/>
          <w:sz w:val="32"/>
          <w:szCs w:val="32"/>
          <w14:textFill>
            <w14:solidFill>
              <w14:schemeClr w14:val="tx1"/>
            </w14:solidFill>
          </w14:textFill>
        </w:rPr>
        <w:t>〔2010〕</w:t>
      </w:r>
      <w:r>
        <w:rPr>
          <w:rFonts w:hint="eastAsia" w:ascii="仿宋" w:hAnsi="仿宋" w:eastAsia="仿宋" w:cs="仿宋"/>
          <w:color w:val="000000" w:themeColor="text1"/>
          <w:kern w:val="0"/>
          <w:sz w:val="32"/>
          <w:szCs w:val="32"/>
          <w14:textFill>
            <w14:solidFill>
              <w14:schemeClr w14:val="tx1"/>
            </w14:solidFill>
          </w14:textFill>
        </w:rPr>
        <w:t>139号）等；</w:t>
      </w:r>
    </w:p>
    <w:p>
      <w:pPr>
        <w:widowControl/>
        <w:shd w:val="clear" w:color="auto" w:fill="FFFFFF"/>
        <w:ind w:firstLine="640" w:firstLineChars="200"/>
        <w:jc w:val="left"/>
        <w:rPr>
          <w:rFonts w:ascii="仿宋" w:hAnsi="仿宋" w:eastAsia="仿宋" w:cs="仿宋"/>
          <w:bCs/>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（十六）《</w:t>
      </w:r>
      <w:r>
        <w:rPr>
          <w:rFonts w:hint="eastAsia" w:ascii="仿宋" w:hAnsi="仿宋" w:eastAsia="仿宋" w:cs="仿宋"/>
          <w:bCs/>
          <w:color w:val="000000" w:themeColor="text1"/>
          <w:kern w:val="0"/>
          <w:sz w:val="32"/>
          <w:szCs w:val="32"/>
          <w14:textFill>
            <w14:solidFill>
              <w14:schemeClr w14:val="tx1"/>
            </w14:solidFill>
          </w14:textFill>
        </w:rPr>
        <w:t>吉林省政府采购评审专家劳务报酬标准的通知</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bCs/>
          <w:color w:val="000000" w:themeColor="text1"/>
          <w:kern w:val="0"/>
          <w:sz w:val="32"/>
          <w:szCs w:val="32"/>
          <w14:textFill>
            <w14:solidFill>
              <w14:schemeClr w14:val="tx1"/>
            </w14:solidFill>
          </w14:textFill>
        </w:rPr>
        <w:t>（吉财采购〔2017〕554号）；</w:t>
      </w:r>
    </w:p>
    <w:p>
      <w:pPr>
        <w:pStyle w:val="2"/>
        <w:shd w:val="clear" w:color="auto" w:fill="FFFFFF"/>
        <w:spacing w:before="0" w:beforeAutospacing="0" w:after="300" w:afterAutospacing="0"/>
        <w:ind w:firstLine="48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（十七）《</w:t>
      </w:r>
      <w:r>
        <w:rPr>
          <w:rStyle w:val="5"/>
          <w:rFonts w:hint="eastAsia" w:ascii="仿宋" w:hAnsi="仿宋" w:eastAsia="仿宋" w:cs="仿宋"/>
          <w:b w:val="0"/>
          <w:color w:val="000000" w:themeColor="text1"/>
          <w:sz w:val="32"/>
          <w:szCs w:val="32"/>
          <w14:textFill>
            <w14:solidFill>
              <w14:schemeClr w14:val="tx1"/>
            </w14:solidFill>
          </w14:textFill>
        </w:rPr>
        <w:t>吉林省人民政府关于发布全省最低工资标准的通知</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吉政函〔2017〕97号</w:t>
      </w:r>
      <w:r>
        <w:rPr>
          <w:rFonts w:hint="eastAsia" w:ascii="仿宋" w:hAnsi="仿宋" w:eastAsia="仿宋" w:cs="仿宋"/>
          <w:bCs/>
          <w:color w:val="000000" w:themeColor="text1"/>
          <w:sz w:val="32"/>
          <w:szCs w:val="32"/>
          <w14:textFill>
            <w14:solidFill>
              <w14:schemeClr w14:val="tx1"/>
            </w14:solidFill>
          </w14:textFill>
        </w:rPr>
        <w:t>）。</w:t>
      </w:r>
    </w:p>
    <w:p>
      <w:pPr>
        <w:pStyle w:val="2"/>
        <w:shd w:val="clear" w:color="auto" w:fill="FFFFFF"/>
        <w:spacing w:before="0" w:beforeAutospacing="0" w:after="300" w:afterAutospacing="0"/>
        <w:ind w:firstLine="48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第七条</w:t>
      </w:r>
      <w:r>
        <w:rPr>
          <w:rFonts w:hint="eastAsia" w:ascii="仿宋" w:hAnsi="仿宋" w:eastAsia="仿宋" w:cs="仿宋"/>
          <w:color w:val="000000" w:themeColor="text1"/>
          <w:sz w:val="32"/>
          <w:szCs w:val="32"/>
          <w14:textFill>
            <w14:solidFill>
              <w14:schemeClr w14:val="tx1"/>
            </w14:solidFill>
          </w14:textFill>
        </w:rPr>
        <w:t>  本意见中的林地、苗圃面积以公顷为单位计量，标的、物资、财务以件为单位计量，经费以人民币（元）为单位计量。</w:t>
      </w:r>
    </w:p>
    <w:p>
      <w:pPr>
        <w:widowControl/>
        <w:shd w:val="clear" w:color="auto" w:fill="FFFFFF"/>
        <w:jc w:val="center"/>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第二章  价格鉴证评估基础收费</w:t>
      </w:r>
    </w:p>
    <w:p>
      <w:pPr>
        <w:pStyle w:val="2"/>
        <w:spacing w:before="0" w:beforeAutospacing="0" w:after="0" w:afterAutospacing="0"/>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第八条  </w:t>
      </w:r>
      <w:r>
        <w:rPr>
          <w:rFonts w:hint="eastAsia" w:ascii="仿宋" w:hAnsi="仿宋" w:eastAsia="仿宋" w:cs="仿宋"/>
          <w:color w:val="000000" w:themeColor="text1"/>
          <w:sz w:val="32"/>
          <w:szCs w:val="32"/>
          <w14:textFill>
            <w14:solidFill>
              <w14:schemeClr w14:val="tx1"/>
            </w14:solidFill>
          </w14:textFill>
        </w:rPr>
        <w:t>价格鉴证评估服务项目可实行计件收费、计时收费或计件与计时收费相结合的方式。</w:t>
      </w:r>
    </w:p>
    <w:p>
      <w:pPr>
        <w:widowControl/>
        <w:shd w:val="clear" w:color="auto" w:fill="FFFFFF"/>
        <w:ind w:firstLine="643" w:firstLineChars="200"/>
        <w:jc w:val="left"/>
        <w:rPr>
          <w:rFonts w:ascii="仿宋" w:hAnsi="仿宋" w:eastAsia="仿宋" w:cs="仿宋"/>
          <w:bCs/>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w:t>
      </w:r>
      <w:r>
        <w:rPr>
          <w:rFonts w:hint="eastAsia" w:ascii="仿宋" w:hAnsi="仿宋" w:eastAsia="仿宋" w:cs="仿宋"/>
          <w:b/>
          <w:color w:val="000000" w:themeColor="text1"/>
          <w:sz w:val="32"/>
          <w:szCs w:val="32"/>
          <w14:textFill>
            <w14:solidFill>
              <w14:schemeClr w14:val="tx1"/>
            </w14:solidFill>
          </w14:textFill>
        </w:rPr>
        <w:t>九</w:t>
      </w:r>
      <w:r>
        <w:rPr>
          <w:rFonts w:hint="eastAsia" w:ascii="仿宋" w:hAnsi="仿宋" w:eastAsia="仿宋" w:cs="仿宋"/>
          <w:b/>
          <w:color w:val="000000" w:themeColor="text1"/>
          <w:kern w:val="0"/>
          <w:sz w:val="32"/>
          <w:szCs w:val="32"/>
          <w14:textFill>
            <w14:solidFill>
              <w14:schemeClr w14:val="tx1"/>
            </w14:solidFill>
          </w14:textFill>
        </w:rPr>
        <w:t xml:space="preserve">条  </w:t>
      </w:r>
      <w:r>
        <w:rPr>
          <w:rFonts w:hint="eastAsia" w:ascii="仿宋" w:hAnsi="仿宋" w:eastAsia="仿宋" w:cs="仿宋"/>
          <w:color w:val="000000" w:themeColor="text1"/>
          <w:sz w:val="32"/>
          <w:szCs w:val="32"/>
          <w14:textFill>
            <w14:solidFill>
              <w14:schemeClr w14:val="tx1"/>
            </w14:solidFill>
          </w14:textFill>
        </w:rPr>
        <w:t>实行计件收费是指价格鉴证评估结论账面原值为计费依据，采取差额定率累进计算办法收取评估费用。即按委评标的、物资、财物、资产等的账面原值的大小划分收费档次，分档计算收费额、各档相加为评估收费总额。</w:t>
      </w:r>
      <w:r>
        <w:rPr>
          <w:rFonts w:hint="eastAsia" w:ascii="仿宋" w:hAnsi="仿宋" w:eastAsia="仿宋" w:cs="仿宋"/>
          <w:bCs/>
          <w:color w:val="000000" w:themeColor="text1"/>
          <w:kern w:val="0"/>
          <w:sz w:val="32"/>
          <w:szCs w:val="32"/>
          <w14:textFill>
            <w14:solidFill>
              <w14:schemeClr w14:val="tx1"/>
            </w14:solidFill>
          </w14:textFill>
        </w:rPr>
        <w:t>单件项目最低收费标准不低于3000元。</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 xml:space="preserve">第十条  </w:t>
      </w:r>
      <w:r>
        <w:rPr>
          <w:rFonts w:hint="eastAsia" w:ascii="仿宋" w:hAnsi="仿宋" w:eastAsia="仿宋" w:cs="仿宋"/>
          <w:color w:val="000000" w:themeColor="text1"/>
          <w:sz w:val="32"/>
          <w:szCs w:val="32"/>
          <w14:textFill>
            <w14:solidFill>
              <w14:schemeClr w14:val="tx1"/>
            </w14:solidFill>
          </w14:textFill>
        </w:rPr>
        <w:t>实行计件收费</w:t>
      </w:r>
      <w:r>
        <w:rPr>
          <w:rFonts w:hint="eastAsia" w:ascii="仿宋" w:hAnsi="仿宋" w:eastAsia="仿宋" w:cs="仿宋"/>
          <w:bCs/>
          <w:color w:val="000000" w:themeColor="text1"/>
          <w:kern w:val="0"/>
          <w:sz w:val="32"/>
          <w:szCs w:val="32"/>
          <w14:textFill>
            <w14:solidFill>
              <w14:schemeClr w14:val="tx1"/>
            </w14:solidFill>
          </w14:textFill>
        </w:rPr>
        <w:t>可根据价格鉴证评估项目繁简程度不同，在双方协商同意的基础上，价格鉴证评估费的收取可以实行上下浮动，浮动幅度不应超过±20%。</w:t>
      </w:r>
    </w:p>
    <w:p>
      <w:pPr>
        <w:widowControl/>
        <w:shd w:val="clear" w:color="auto" w:fill="FFFFFF"/>
        <w:ind w:firstLine="643" w:firstLineChars="200"/>
        <w:jc w:val="left"/>
        <w:rPr>
          <w:rFonts w:ascii="仿宋" w:hAnsi="仿宋" w:eastAsia="仿宋" w:cs="仿宋"/>
          <w:bCs/>
          <w:color w:val="000000" w:themeColor="text1"/>
          <w:kern w:val="0"/>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第十一条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Cs/>
          <w:color w:val="000000" w:themeColor="text1"/>
          <w:kern w:val="0"/>
          <w:sz w:val="32"/>
          <w:szCs w:val="32"/>
          <w14:textFill>
            <w14:solidFill>
              <w14:schemeClr w14:val="tx1"/>
            </w14:solidFill>
          </w14:textFill>
        </w:rPr>
        <w:t>企业价值评估、无形资产评估、证券、期货业评估、专项债权（债务）评估、项目风险大的价格鉴证评估等复杂疑难的评估业务，可以上浮30%。</w:t>
      </w:r>
    </w:p>
    <w:tbl>
      <w:tblPr>
        <w:tblStyle w:val="3"/>
        <w:tblW w:w="8130" w:type="dxa"/>
        <w:tblInd w:w="0" w:type="dxa"/>
        <w:tblLayout w:type="fixed"/>
        <w:tblCellMar>
          <w:top w:w="15" w:type="dxa"/>
          <w:left w:w="15" w:type="dxa"/>
          <w:bottom w:w="15" w:type="dxa"/>
          <w:right w:w="15" w:type="dxa"/>
        </w:tblCellMar>
      </w:tblPr>
      <w:tblGrid>
        <w:gridCol w:w="795"/>
        <w:gridCol w:w="1831"/>
        <w:gridCol w:w="1050"/>
        <w:gridCol w:w="870"/>
        <w:gridCol w:w="1065"/>
        <w:gridCol w:w="1080"/>
        <w:gridCol w:w="1439"/>
      </w:tblGrid>
      <w:tr>
        <w:tblPrEx>
          <w:tblCellMar>
            <w:top w:w="15" w:type="dxa"/>
            <w:left w:w="15" w:type="dxa"/>
            <w:bottom w:w="15" w:type="dxa"/>
            <w:right w:w="15" w:type="dxa"/>
          </w:tblCellMar>
        </w:tblPrEx>
        <w:trPr>
          <w:trHeight w:val="555" w:hRule="atLeast"/>
        </w:trPr>
        <w:tc>
          <w:tcPr>
            <w:tcW w:w="8130" w:type="dxa"/>
            <w:gridSpan w:val="7"/>
            <w:shd w:val="clear" w:color="auto" w:fill="auto"/>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价格鉴证评估差额定率累进收费标准表</w:t>
            </w:r>
          </w:p>
        </w:tc>
      </w:tr>
      <w:tr>
        <w:tblPrEx>
          <w:tblCellMar>
            <w:top w:w="15" w:type="dxa"/>
            <w:left w:w="15" w:type="dxa"/>
            <w:bottom w:w="15" w:type="dxa"/>
            <w:right w:w="15" w:type="dxa"/>
          </w:tblCellMar>
        </w:tblPrEx>
        <w:trPr>
          <w:trHeight w:val="286" w:hRule="atLeast"/>
        </w:trPr>
        <w:tc>
          <w:tcPr>
            <w:tcW w:w="795" w:type="dxa"/>
            <w:tcBorders>
              <w:bottom w:val="single" w:color="000000" w:sz="4" w:space="0"/>
            </w:tcBorders>
            <w:shd w:val="clear" w:color="auto" w:fill="auto"/>
            <w:vAlign w:val="center"/>
          </w:tcPr>
          <w:p>
            <w:pPr>
              <w:jc w:val="center"/>
              <w:rPr>
                <w:rFonts w:ascii="仿宋" w:hAnsi="仿宋" w:eastAsia="仿宋" w:cs="仿宋"/>
                <w:b/>
                <w:color w:val="000000"/>
                <w:sz w:val="20"/>
                <w:szCs w:val="20"/>
              </w:rPr>
            </w:pPr>
          </w:p>
        </w:tc>
        <w:tc>
          <w:tcPr>
            <w:tcW w:w="1831" w:type="dxa"/>
            <w:tcBorders>
              <w:bottom w:val="single" w:color="000000" w:sz="4" w:space="0"/>
            </w:tcBorders>
            <w:shd w:val="clear" w:color="auto" w:fill="auto"/>
            <w:vAlign w:val="center"/>
          </w:tcPr>
          <w:p>
            <w:pPr>
              <w:jc w:val="center"/>
              <w:rPr>
                <w:rFonts w:ascii="仿宋" w:hAnsi="仿宋" w:eastAsia="仿宋" w:cs="仿宋"/>
                <w:b/>
                <w:color w:val="000000"/>
                <w:sz w:val="20"/>
                <w:szCs w:val="20"/>
              </w:rPr>
            </w:pPr>
          </w:p>
        </w:tc>
        <w:tc>
          <w:tcPr>
            <w:tcW w:w="1050" w:type="dxa"/>
            <w:tcBorders>
              <w:bottom w:val="single" w:color="000000" w:sz="4" w:space="0"/>
            </w:tcBorders>
            <w:shd w:val="clear" w:color="auto" w:fill="auto"/>
            <w:vAlign w:val="center"/>
          </w:tcPr>
          <w:p>
            <w:pPr>
              <w:jc w:val="center"/>
              <w:rPr>
                <w:rFonts w:ascii="仿宋" w:hAnsi="仿宋" w:eastAsia="仿宋" w:cs="仿宋"/>
                <w:b/>
                <w:color w:val="000000"/>
                <w:sz w:val="20"/>
                <w:szCs w:val="20"/>
              </w:rPr>
            </w:pPr>
          </w:p>
        </w:tc>
        <w:tc>
          <w:tcPr>
            <w:tcW w:w="870" w:type="dxa"/>
            <w:tcBorders>
              <w:bottom w:val="single" w:color="000000" w:sz="4" w:space="0"/>
            </w:tcBorders>
            <w:shd w:val="clear" w:color="auto" w:fill="auto"/>
            <w:vAlign w:val="center"/>
          </w:tcPr>
          <w:p>
            <w:pPr>
              <w:jc w:val="center"/>
              <w:rPr>
                <w:rFonts w:ascii="仿宋" w:hAnsi="仿宋" w:eastAsia="仿宋" w:cs="仿宋"/>
                <w:b/>
                <w:color w:val="000000"/>
                <w:sz w:val="20"/>
                <w:szCs w:val="20"/>
              </w:rPr>
            </w:pPr>
          </w:p>
        </w:tc>
        <w:tc>
          <w:tcPr>
            <w:tcW w:w="1065" w:type="dxa"/>
            <w:tcBorders>
              <w:bottom w:val="single" w:color="000000" w:sz="4" w:space="0"/>
            </w:tcBorders>
            <w:shd w:val="clear" w:color="auto" w:fill="auto"/>
            <w:vAlign w:val="center"/>
          </w:tcPr>
          <w:p>
            <w:pPr>
              <w:jc w:val="center"/>
              <w:rPr>
                <w:rFonts w:ascii="仿宋" w:hAnsi="仿宋" w:eastAsia="仿宋" w:cs="仿宋"/>
                <w:b/>
                <w:color w:val="000000"/>
                <w:sz w:val="20"/>
                <w:szCs w:val="20"/>
              </w:rPr>
            </w:pPr>
          </w:p>
        </w:tc>
        <w:tc>
          <w:tcPr>
            <w:tcW w:w="1080" w:type="dxa"/>
            <w:tcBorders>
              <w:bottom w:val="single" w:color="000000" w:sz="4" w:space="0"/>
            </w:tcBorders>
            <w:shd w:val="clear" w:color="auto" w:fill="auto"/>
            <w:vAlign w:val="center"/>
          </w:tcPr>
          <w:p>
            <w:pPr>
              <w:jc w:val="center"/>
              <w:rPr>
                <w:rFonts w:ascii="仿宋" w:hAnsi="仿宋" w:eastAsia="仿宋" w:cs="仿宋"/>
                <w:b/>
                <w:color w:val="000000"/>
                <w:sz w:val="20"/>
                <w:szCs w:val="20"/>
              </w:rPr>
            </w:pPr>
          </w:p>
        </w:tc>
        <w:tc>
          <w:tcPr>
            <w:tcW w:w="1439" w:type="dxa"/>
            <w:tcBorders>
              <w:bottom w:val="single" w:color="000000" w:sz="4" w:space="0"/>
            </w:tcBorders>
            <w:shd w:val="clear" w:color="auto" w:fill="auto"/>
            <w:vAlign w:val="center"/>
          </w:tcPr>
          <w:p>
            <w:pPr>
              <w:widowControl/>
              <w:jc w:val="right"/>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表1</w:t>
            </w:r>
          </w:p>
        </w:tc>
      </w:tr>
      <w:tr>
        <w:tblPrEx>
          <w:tblCellMar>
            <w:top w:w="15" w:type="dxa"/>
            <w:left w:w="15" w:type="dxa"/>
            <w:bottom w:w="15" w:type="dxa"/>
            <w:right w:w="15" w:type="dxa"/>
          </w:tblCellMar>
        </w:tblPrEx>
        <w:trPr>
          <w:trHeight w:val="10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档次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评估结论价值额度（万元）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计算基数      （万元）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差额计费率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计算值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差额定率之间收费（万元）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累计收费金额（万元）</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 xml:space="preserve">5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0.4</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5.1-10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 xml:space="preserve">5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0.7</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10.1-50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 xml:space="preserve">40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2.7</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50.1-100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 xml:space="preserve">50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4.7</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101-300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 xml:space="preserve">200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10.7</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301-500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 xml:space="preserve">200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14.7</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501-1000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 xml:space="preserve">500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19.7</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1001-2000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 xml:space="preserve">1000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28.7</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2001-3000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 xml:space="preserve">1000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35.7</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3001-5000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 xml:space="preserve">2000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45.7</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5001-10000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 xml:space="preserve">5000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60.7</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10001-30000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 xml:space="preserve">20000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100.7</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30001-50000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 xml:space="preserve">20000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120.7</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50001-70000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 xml:space="preserve">20000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0.0005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130.7</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70001-100000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 xml:space="preserve">30000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139.7</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100001以上</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870" w:type="dxa"/>
            <w:tcBorders>
              <w:top w:val="single" w:color="000000" w:sz="4" w:space="0"/>
              <w:bottom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0.00015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r>
      <w:tr>
        <w:tblPrEx>
          <w:tblCellMar>
            <w:top w:w="15" w:type="dxa"/>
            <w:left w:w="15" w:type="dxa"/>
            <w:bottom w:w="15" w:type="dxa"/>
            <w:right w:w="15" w:type="dxa"/>
          </w:tblCellMar>
        </w:tblPrEx>
        <w:trPr>
          <w:trHeight w:val="525" w:hRule="atLeast"/>
        </w:trPr>
        <w:tc>
          <w:tcPr>
            <w:tcW w:w="8130" w:type="dxa"/>
            <w:gridSpan w:val="7"/>
            <w:tcBorders>
              <w:top w:val="single" w:color="000000" w:sz="4" w:space="0"/>
            </w:tcBorders>
            <w:shd w:val="clear" w:color="auto" w:fill="auto"/>
            <w:vAlign w:val="center"/>
          </w:tcPr>
          <w:p>
            <w:pPr>
              <w:widowControl/>
              <w:jc w:val="left"/>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 xml:space="preserve">    </w:t>
            </w:r>
          </w:p>
          <w:p>
            <w:pPr>
              <w:widowControl/>
              <w:jc w:val="left"/>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 xml:space="preserve">     注：1、价格鉴证评估收费计算基础数为评估结论价值数额。</w:t>
            </w:r>
          </w:p>
          <w:p>
            <w:pPr>
              <w:widowControl/>
              <w:jc w:val="left"/>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 xml:space="preserve">         2、国家征收项目的价格鉴证评估收费，按一个单元（户、单位）评估结论价值，计算收费。</w:t>
            </w:r>
          </w:p>
        </w:tc>
      </w:tr>
    </w:tbl>
    <w:p>
      <w:pPr>
        <w:widowControl/>
        <w:shd w:val="clear" w:color="auto" w:fill="FFFFFF"/>
        <w:ind w:firstLine="643"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第十二条</w:t>
      </w:r>
      <w:r>
        <w:rPr>
          <w:rFonts w:hint="eastAsia" w:ascii="仿宋" w:hAnsi="仿宋" w:eastAsia="仿宋" w:cs="仿宋"/>
          <w:color w:val="000000" w:themeColor="text1"/>
          <w:sz w:val="32"/>
          <w:szCs w:val="32"/>
          <w14:textFill>
            <w14:solidFill>
              <w14:schemeClr w14:val="tx1"/>
            </w14:solidFill>
          </w14:textFill>
        </w:rPr>
        <w:t xml:space="preserve">  实行计时收费的价格鉴证评估服务，可按照完成价格鉴证评估业务所需工作人/日数和每个工作人/日收费标准收取评估费用。工作人/日数根据评估项目的性质、风险大小、繁简程度等确定；每个工作人/日收费标准根据评估人员专业技能水平、评估工作的服务质量等确定。</w:t>
      </w:r>
    </w:p>
    <w:tbl>
      <w:tblPr>
        <w:tblStyle w:val="3"/>
        <w:tblW w:w="8175" w:type="dxa"/>
        <w:tblInd w:w="0" w:type="dxa"/>
        <w:tblLayout w:type="fixed"/>
        <w:tblCellMar>
          <w:top w:w="15" w:type="dxa"/>
          <w:left w:w="15" w:type="dxa"/>
          <w:bottom w:w="15" w:type="dxa"/>
          <w:right w:w="15" w:type="dxa"/>
        </w:tblCellMar>
      </w:tblPr>
      <w:tblGrid>
        <w:gridCol w:w="1185"/>
        <w:gridCol w:w="3421"/>
        <w:gridCol w:w="3569"/>
      </w:tblGrid>
      <w:tr>
        <w:tblPrEx>
          <w:tblCellMar>
            <w:top w:w="15" w:type="dxa"/>
            <w:left w:w="15" w:type="dxa"/>
            <w:bottom w:w="15" w:type="dxa"/>
            <w:right w:w="15" w:type="dxa"/>
          </w:tblCellMar>
        </w:tblPrEx>
        <w:trPr>
          <w:trHeight w:val="465" w:hRule="atLeast"/>
        </w:trPr>
        <w:tc>
          <w:tcPr>
            <w:tcW w:w="8175" w:type="dxa"/>
            <w:gridSpan w:val="3"/>
            <w:shd w:val="clear" w:color="auto" w:fill="auto"/>
            <w:vAlign w:val="center"/>
          </w:tcPr>
          <w:p>
            <w:pPr>
              <w:widowControl/>
              <w:jc w:val="center"/>
              <w:textAlignment w:val="center"/>
              <w:rPr>
                <w:rFonts w:ascii="宋体" w:hAnsi="宋体" w:eastAsia="宋体" w:cs="宋体"/>
                <w:b/>
                <w:color w:val="000000"/>
                <w:kern w:val="0"/>
                <w:sz w:val="24"/>
                <w:szCs w:val="24"/>
              </w:rPr>
            </w:pPr>
          </w:p>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价格鉴证评估计时收费标准表</w:t>
            </w:r>
          </w:p>
        </w:tc>
      </w:tr>
      <w:tr>
        <w:tblPrEx>
          <w:tblCellMar>
            <w:top w:w="15" w:type="dxa"/>
            <w:left w:w="15" w:type="dxa"/>
            <w:bottom w:w="15" w:type="dxa"/>
            <w:right w:w="15" w:type="dxa"/>
          </w:tblCellMar>
        </w:tblPrEx>
        <w:trPr>
          <w:trHeight w:val="286" w:hRule="atLeast"/>
        </w:trPr>
        <w:tc>
          <w:tcPr>
            <w:tcW w:w="1185" w:type="dxa"/>
            <w:shd w:val="clear" w:color="auto" w:fill="auto"/>
            <w:vAlign w:val="center"/>
          </w:tcPr>
          <w:p>
            <w:pPr>
              <w:jc w:val="center"/>
              <w:rPr>
                <w:rFonts w:ascii="仿宋" w:hAnsi="仿宋" w:eastAsia="仿宋" w:cs="仿宋"/>
                <w:b/>
                <w:color w:val="000000"/>
                <w:sz w:val="20"/>
                <w:szCs w:val="20"/>
              </w:rPr>
            </w:pPr>
          </w:p>
        </w:tc>
        <w:tc>
          <w:tcPr>
            <w:tcW w:w="3421" w:type="dxa"/>
            <w:shd w:val="clear" w:color="auto" w:fill="auto"/>
            <w:vAlign w:val="center"/>
          </w:tcPr>
          <w:p>
            <w:pPr>
              <w:jc w:val="center"/>
              <w:rPr>
                <w:rFonts w:ascii="仿宋" w:hAnsi="仿宋" w:eastAsia="仿宋" w:cs="仿宋"/>
                <w:b/>
                <w:color w:val="000000"/>
                <w:sz w:val="20"/>
                <w:szCs w:val="20"/>
              </w:rPr>
            </w:pPr>
          </w:p>
        </w:tc>
        <w:tc>
          <w:tcPr>
            <w:tcW w:w="3569" w:type="dxa"/>
            <w:shd w:val="clear" w:color="auto" w:fill="auto"/>
            <w:vAlign w:val="center"/>
          </w:tcPr>
          <w:p>
            <w:pPr>
              <w:widowControl/>
              <w:jc w:val="right"/>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表2</w:t>
            </w:r>
          </w:p>
        </w:tc>
      </w:tr>
      <w:tr>
        <w:tblPrEx>
          <w:tblCellMar>
            <w:top w:w="15" w:type="dxa"/>
            <w:left w:w="15" w:type="dxa"/>
            <w:bottom w:w="15" w:type="dxa"/>
            <w:right w:w="15" w:type="dxa"/>
          </w:tblCellMar>
        </w:tblPrEx>
        <w:trPr>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档次</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价格鉴证评估专业人员</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计费（元/小时）</w:t>
            </w:r>
          </w:p>
        </w:tc>
      </w:tr>
      <w:tr>
        <w:tblPrEx>
          <w:tblCellMar>
            <w:top w:w="15" w:type="dxa"/>
            <w:left w:w="15" w:type="dxa"/>
            <w:bottom w:w="15" w:type="dxa"/>
            <w:right w:w="15" w:type="dxa"/>
          </w:tblCellMar>
        </w:tblPrEx>
        <w:trPr>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专家委员会专家</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600-800</w:t>
            </w:r>
          </w:p>
        </w:tc>
      </w:tr>
      <w:tr>
        <w:tblPrEx>
          <w:tblCellMar>
            <w:top w:w="15" w:type="dxa"/>
            <w:left w:w="15" w:type="dxa"/>
            <w:bottom w:w="15" w:type="dxa"/>
            <w:right w:w="15" w:type="dxa"/>
          </w:tblCellMar>
        </w:tblPrEx>
        <w:trPr>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高级价格鉴证评估师</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400-600</w:t>
            </w:r>
          </w:p>
        </w:tc>
      </w:tr>
      <w:tr>
        <w:tblPrEx>
          <w:tblCellMar>
            <w:top w:w="15" w:type="dxa"/>
            <w:left w:w="15" w:type="dxa"/>
            <w:bottom w:w="15" w:type="dxa"/>
            <w:right w:w="15" w:type="dxa"/>
          </w:tblCellMar>
        </w:tblPrEx>
        <w:trPr>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3</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中级价格鉴证评估师</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200-400</w:t>
            </w:r>
          </w:p>
        </w:tc>
      </w:tr>
      <w:tr>
        <w:tblPrEx>
          <w:tblCellMar>
            <w:top w:w="15" w:type="dxa"/>
            <w:left w:w="15" w:type="dxa"/>
            <w:bottom w:w="15" w:type="dxa"/>
            <w:right w:w="15" w:type="dxa"/>
          </w:tblCellMar>
        </w:tblPrEx>
        <w:trPr>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助理价格鉴证评估师</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100-200</w:t>
            </w:r>
          </w:p>
        </w:tc>
      </w:tr>
      <w:tr>
        <w:tblPrEx>
          <w:tblCellMar>
            <w:top w:w="15" w:type="dxa"/>
            <w:left w:w="15" w:type="dxa"/>
            <w:bottom w:w="15" w:type="dxa"/>
            <w:right w:w="15" w:type="dxa"/>
          </w:tblCellMar>
        </w:tblPrEx>
        <w:trPr>
          <w:trHeight w:val="3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价格评估专业人员</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80-100</w:t>
            </w:r>
          </w:p>
        </w:tc>
      </w:tr>
    </w:tbl>
    <w:p>
      <w:pPr>
        <w:widowControl/>
        <w:shd w:val="clear" w:color="auto" w:fill="FFFFFF"/>
        <w:ind w:firstLine="640" w:firstLineChars="200"/>
        <w:jc w:val="left"/>
        <w:rPr>
          <w:rFonts w:ascii="仿宋" w:hAnsi="仿宋" w:eastAsia="仿宋" w:cs="仿宋"/>
          <w:color w:val="000000" w:themeColor="text1"/>
          <w:sz w:val="32"/>
          <w:szCs w:val="32"/>
          <w14:textFill>
            <w14:solidFill>
              <w14:schemeClr w14:val="tx1"/>
            </w14:solidFill>
          </w14:textFill>
        </w:rPr>
      </w:pPr>
    </w:p>
    <w:p>
      <w:pPr>
        <w:widowControl/>
        <w:shd w:val="clear" w:color="auto" w:fill="FFFFFF"/>
        <w:ind w:firstLine="643"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第十三条</w:t>
      </w:r>
      <w:r>
        <w:rPr>
          <w:rFonts w:hint="eastAsia" w:ascii="仿宋" w:hAnsi="仿宋" w:eastAsia="仿宋" w:cs="仿宋"/>
          <w:color w:val="000000" w:themeColor="text1"/>
          <w:sz w:val="32"/>
          <w:szCs w:val="32"/>
          <w14:textFill>
            <w14:solidFill>
              <w14:schemeClr w14:val="tx1"/>
            </w14:solidFill>
          </w14:textFill>
        </w:rPr>
        <w:t xml:space="preserve">  实行计时价格评估收费，是指按价格鉴证评估专业人员职业能力收取的费用。</w:t>
      </w:r>
    </w:p>
    <w:p>
      <w:pPr>
        <w:ind w:firstLine="642"/>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第十四条  </w:t>
      </w:r>
      <w:r>
        <w:rPr>
          <w:rFonts w:hint="eastAsia" w:ascii="仿宋" w:hAnsi="仿宋" w:eastAsia="仿宋" w:cs="仿宋"/>
          <w:b/>
          <w:bCs/>
          <w:kern w:val="0"/>
          <w:sz w:val="32"/>
          <w:szCs w:val="32"/>
        </w:rPr>
        <w:t xml:space="preserve"> </w:t>
      </w:r>
      <w:r>
        <w:rPr>
          <w:rFonts w:hint="eastAsia" w:ascii="仿宋" w:hAnsi="仿宋" w:eastAsia="仿宋" w:cs="仿宋"/>
          <w:color w:val="000000" w:themeColor="text1"/>
          <w:sz w:val="32"/>
          <w:szCs w:val="32"/>
          <w14:textFill>
            <w14:solidFill>
              <w14:schemeClr w14:val="tx1"/>
            </w14:solidFill>
          </w14:textFill>
        </w:rPr>
        <w:t>实行计件收费、计时收费，不包含价格鉴证评估涉及的财务、物资清查费、调查费、现场勘察费、交通费、旅差费、查询资料信息费、聘请专家论证费等。</w:t>
      </w:r>
    </w:p>
    <w:p>
      <w:pPr>
        <w:widowControl/>
        <w:shd w:val="clear" w:color="auto" w:fill="FFFFFF"/>
        <w:jc w:val="center"/>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第三章  鉴证核查调查收费及调整系数</w:t>
      </w:r>
    </w:p>
    <w:p>
      <w:pPr>
        <w:pStyle w:val="2"/>
        <w:shd w:val="clear" w:color="auto" w:fill="FFFFFF"/>
        <w:spacing w:before="0" w:beforeAutospacing="0" w:after="300" w:afterAutospacing="0"/>
        <w:ind w:firstLine="48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 第十五条</w:t>
      </w:r>
      <w:r>
        <w:rPr>
          <w:rFonts w:hint="eastAsia" w:ascii="仿宋" w:hAnsi="仿宋" w:eastAsia="仿宋" w:cs="仿宋"/>
          <w:color w:val="000000" w:themeColor="text1"/>
          <w:sz w:val="32"/>
          <w:szCs w:val="32"/>
          <w14:textFill>
            <w14:solidFill>
              <w14:schemeClr w14:val="tx1"/>
            </w14:solidFill>
          </w14:textFill>
        </w:rPr>
        <w:t> 价格鉴证评估服务项目，涉及到的野外资源、资产、设施等的核查、调查和现场勘查，应单独收取作业费用。因野外作业交通、地理环境、作业繁简、工作量不同，在基础收费的基础上，应予以使用系数调整，体现科学、合理。</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第十六条</w:t>
      </w:r>
      <w:r>
        <w:rPr>
          <w:rFonts w:hint="eastAsia" w:ascii="仿宋" w:hAnsi="仿宋" w:eastAsia="仿宋" w:cs="仿宋"/>
          <w:color w:val="000000" w:themeColor="text1"/>
          <w:kern w:val="0"/>
          <w:sz w:val="32"/>
          <w:szCs w:val="32"/>
          <w14:textFill>
            <w14:solidFill>
              <w14:schemeClr w14:val="tx1"/>
            </w14:solidFill>
          </w14:textFill>
        </w:rPr>
        <w:t xml:space="preserve"> 价格鉴证评估服务项目，野外核查、调查收费的基础价格，依据农林牧副渔业野外生产作业用工定额，综合测算为720元/工日确定。按复杂程度分为林地林木（全林每木）资产调查、林地林木资产核查、湿地资源资产核查，森林生态系统服务功能资源资产核查。</w:t>
      </w:r>
    </w:p>
    <w:tbl>
      <w:tblPr>
        <w:tblStyle w:val="3"/>
        <w:tblW w:w="8802" w:type="dxa"/>
        <w:tblInd w:w="0" w:type="dxa"/>
        <w:tblLayout w:type="fixed"/>
        <w:tblCellMar>
          <w:top w:w="15" w:type="dxa"/>
          <w:left w:w="15" w:type="dxa"/>
          <w:bottom w:w="15" w:type="dxa"/>
          <w:right w:w="15" w:type="dxa"/>
        </w:tblCellMar>
      </w:tblPr>
      <w:tblGrid>
        <w:gridCol w:w="3910"/>
        <w:gridCol w:w="1102"/>
        <w:gridCol w:w="750"/>
        <w:gridCol w:w="874"/>
        <w:gridCol w:w="814"/>
        <w:gridCol w:w="1352"/>
      </w:tblGrid>
      <w:tr>
        <w:tblPrEx>
          <w:tblCellMar>
            <w:top w:w="15" w:type="dxa"/>
            <w:left w:w="15" w:type="dxa"/>
            <w:bottom w:w="15" w:type="dxa"/>
            <w:right w:w="15" w:type="dxa"/>
          </w:tblCellMar>
        </w:tblPrEx>
        <w:trPr>
          <w:trHeight w:val="405" w:hRule="atLeast"/>
        </w:trPr>
        <w:tc>
          <w:tcPr>
            <w:tcW w:w="8802" w:type="dxa"/>
            <w:gridSpan w:val="6"/>
            <w:shd w:val="clear" w:color="auto" w:fill="auto"/>
            <w:vAlign w:val="center"/>
          </w:tcPr>
          <w:p>
            <w:pPr>
              <w:widowControl/>
              <w:jc w:val="center"/>
              <w:textAlignment w:val="center"/>
              <w:rPr>
                <w:rFonts w:ascii="宋体" w:hAnsi="宋体" w:eastAsia="宋体" w:cs="宋体"/>
                <w:b/>
                <w:color w:val="000000"/>
                <w:kern w:val="0"/>
                <w:sz w:val="24"/>
                <w:szCs w:val="24"/>
              </w:rPr>
            </w:pPr>
          </w:p>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资源资产野外调查收费基价表。</w:t>
            </w:r>
          </w:p>
        </w:tc>
      </w:tr>
      <w:tr>
        <w:tblPrEx>
          <w:tblCellMar>
            <w:top w:w="15" w:type="dxa"/>
            <w:left w:w="15" w:type="dxa"/>
            <w:bottom w:w="15" w:type="dxa"/>
            <w:right w:w="15" w:type="dxa"/>
          </w:tblCellMar>
        </w:tblPrEx>
        <w:trPr>
          <w:trHeight w:val="286" w:hRule="atLeast"/>
        </w:trPr>
        <w:tc>
          <w:tcPr>
            <w:tcW w:w="3910" w:type="dxa"/>
            <w:shd w:val="clear" w:color="auto" w:fill="auto"/>
            <w:vAlign w:val="center"/>
          </w:tcPr>
          <w:p>
            <w:pPr>
              <w:jc w:val="center"/>
              <w:rPr>
                <w:rFonts w:ascii="仿宋" w:hAnsi="仿宋" w:eastAsia="仿宋" w:cs="仿宋"/>
                <w:color w:val="000000"/>
                <w:sz w:val="20"/>
                <w:szCs w:val="20"/>
              </w:rPr>
            </w:pPr>
          </w:p>
        </w:tc>
        <w:tc>
          <w:tcPr>
            <w:tcW w:w="1102" w:type="dxa"/>
            <w:shd w:val="clear" w:color="auto" w:fill="auto"/>
            <w:vAlign w:val="center"/>
          </w:tcPr>
          <w:p>
            <w:pPr>
              <w:jc w:val="center"/>
              <w:rPr>
                <w:rFonts w:ascii="仿宋" w:hAnsi="仿宋" w:eastAsia="仿宋" w:cs="仿宋"/>
                <w:color w:val="000000"/>
                <w:sz w:val="20"/>
                <w:szCs w:val="20"/>
              </w:rPr>
            </w:pPr>
          </w:p>
        </w:tc>
        <w:tc>
          <w:tcPr>
            <w:tcW w:w="750" w:type="dxa"/>
            <w:shd w:val="clear" w:color="auto" w:fill="auto"/>
            <w:vAlign w:val="center"/>
          </w:tcPr>
          <w:p>
            <w:pPr>
              <w:jc w:val="center"/>
              <w:rPr>
                <w:rFonts w:ascii="仿宋" w:hAnsi="仿宋" w:eastAsia="仿宋" w:cs="仿宋"/>
                <w:color w:val="000000"/>
                <w:sz w:val="20"/>
                <w:szCs w:val="20"/>
              </w:rPr>
            </w:pPr>
          </w:p>
        </w:tc>
        <w:tc>
          <w:tcPr>
            <w:tcW w:w="874" w:type="dxa"/>
            <w:shd w:val="clear" w:color="auto" w:fill="auto"/>
            <w:vAlign w:val="center"/>
          </w:tcPr>
          <w:p>
            <w:pPr>
              <w:jc w:val="center"/>
              <w:rPr>
                <w:rFonts w:ascii="仿宋" w:hAnsi="仿宋" w:eastAsia="仿宋" w:cs="仿宋"/>
                <w:color w:val="000000"/>
                <w:sz w:val="20"/>
                <w:szCs w:val="20"/>
              </w:rPr>
            </w:pPr>
          </w:p>
        </w:tc>
        <w:tc>
          <w:tcPr>
            <w:tcW w:w="814" w:type="dxa"/>
            <w:shd w:val="clear" w:color="auto" w:fill="auto"/>
            <w:vAlign w:val="center"/>
          </w:tcPr>
          <w:p>
            <w:pPr>
              <w:jc w:val="center"/>
              <w:rPr>
                <w:rFonts w:ascii="仿宋" w:hAnsi="仿宋" w:eastAsia="仿宋" w:cs="仿宋"/>
                <w:color w:val="000000"/>
                <w:sz w:val="20"/>
                <w:szCs w:val="20"/>
              </w:rPr>
            </w:pPr>
          </w:p>
        </w:tc>
        <w:tc>
          <w:tcPr>
            <w:tcW w:w="1352" w:type="dxa"/>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表3</w:t>
            </w:r>
          </w:p>
        </w:tc>
      </w:tr>
      <w:tr>
        <w:tblPrEx>
          <w:tblCellMar>
            <w:top w:w="15" w:type="dxa"/>
            <w:left w:w="15" w:type="dxa"/>
            <w:bottom w:w="15" w:type="dxa"/>
            <w:right w:w="15" w:type="dxa"/>
          </w:tblCellMar>
        </w:tblPrEx>
        <w:trPr>
          <w:trHeight w:val="435" w:hRule="atLeast"/>
        </w:trPr>
        <w:tc>
          <w:tcPr>
            <w:tcW w:w="39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工程类别</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5公顷以内最低收费</w:t>
            </w:r>
          </w:p>
        </w:tc>
        <w:tc>
          <w:tcPr>
            <w:tcW w:w="379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收费基价（公顷/元）</w:t>
            </w:r>
          </w:p>
        </w:tc>
      </w:tr>
      <w:tr>
        <w:tblPrEx>
          <w:tblCellMar>
            <w:top w:w="15" w:type="dxa"/>
            <w:left w:w="15" w:type="dxa"/>
            <w:bottom w:w="15" w:type="dxa"/>
            <w:right w:w="15" w:type="dxa"/>
          </w:tblCellMar>
        </w:tblPrEx>
        <w:trPr>
          <w:trHeight w:val="645" w:hRule="atLeast"/>
        </w:trPr>
        <w:tc>
          <w:tcPr>
            <w:tcW w:w="39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750" w:type="dxa"/>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5公顷以内</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6-10公顷</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11-50公顷</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50公顷以上</w:t>
            </w:r>
          </w:p>
        </w:tc>
      </w:tr>
      <w:tr>
        <w:tblPrEx>
          <w:tblCellMar>
            <w:top w:w="15" w:type="dxa"/>
            <w:left w:w="15" w:type="dxa"/>
            <w:bottom w:w="15" w:type="dxa"/>
            <w:right w:w="15" w:type="dxa"/>
          </w:tblCellMar>
        </w:tblPrEx>
        <w:trPr>
          <w:trHeight w:val="360" w:hRule="atLeast"/>
        </w:trPr>
        <w:tc>
          <w:tcPr>
            <w:tcW w:w="3910" w:type="dxa"/>
            <w:tcBorders>
              <w:lef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林木资产（全林每木）调查</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15000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4500</w:t>
            </w:r>
          </w:p>
        </w:tc>
        <w:tc>
          <w:tcPr>
            <w:tcW w:w="874" w:type="dxa"/>
            <w:tcBorders>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4200</w:t>
            </w:r>
          </w:p>
        </w:tc>
        <w:tc>
          <w:tcPr>
            <w:tcW w:w="814" w:type="dxa"/>
            <w:tcBorders>
              <w:lef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3900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3600</w:t>
            </w:r>
          </w:p>
        </w:tc>
      </w:tr>
      <w:tr>
        <w:tblPrEx>
          <w:tblCellMar>
            <w:top w:w="15" w:type="dxa"/>
            <w:left w:w="15" w:type="dxa"/>
            <w:bottom w:w="15" w:type="dxa"/>
            <w:right w:w="15" w:type="dxa"/>
          </w:tblCellMar>
        </w:tblPrEx>
        <w:trPr>
          <w:trHeight w:val="360" w:hRule="atLeast"/>
        </w:trPr>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司法鉴定林木资产（全林每木）调查</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24000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6400</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5800</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5200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4800</w:t>
            </w:r>
          </w:p>
        </w:tc>
      </w:tr>
      <w:tr>
        <w:tblPrEx>
          <w:tblCellMar>
            <w:top w:w="15" w:type="dxa"/>
            <w:left w:w="15" w:type="dxa"/>
            <w:bottom w:w="15" w:type="dxa"/>
            <w:right w:w="15" w:type="dxa"/>
          </w:tblCellMar>
        </w:tblPrEx>
        <w:trPr>
          <w:trHeight w:val="360" w:hRule="atLeast"/>
        </w:trPr>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林地林木资产核查</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1800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450</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420</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390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360</w:t>
            </w:r>
          </w:p>
        </w:tc>
      </w:tr>
      <w:tr>
        <w:tblPrEx>
          <w:tblCellMar>
            <w:top w:w="15" w:type="dxa"/>
            <w:left w:w="15" w:type="dxa"/>
            <w:bottom w:w="15" w:type="dxa"/>
            <w:right w:w="15" w:type="dxa"/>
          </w:tblCellMar>
        </w:tblPrEx>
        <w:trPr>
          <w:trHeight w:val="360" w:hRule="atLeast"/>
        </w:trPr>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司法鉴定林地林木资产核查</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2400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640</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580</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520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480</w:t>
            </w:r>
          </w:p>
        </w:tc>
      </w:tr>
      <w:tr>
        <w:tblPrEx>
          <w:tblCellMar>
            <w:top w:w="15" w:type="dxa"/>
            <w:left w:w="15" w:type="dxa"/>
            <w:bottom w:w="15" w:type="dxa"/>
            <w:right w:w="15" w:type="dxa"/>
          </w:tblCellMar>
        </w:tblPrEx>
        <w:trPr>
          <w:trHeight w:val="360" w:hRule="atLeast"/>
        </w:trPr>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森林生态系统服务功能核查</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2000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600</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560</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520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480</w:t>
            </w:r>
          </w:p>
        </w:tc>
      </w:tr>
      <w:tr>
        <w:tblPrEx>
          <w:tblCellMar>
            <w:top w:w="15" w:type="dxa"/>
            <w:left w:w="15" w:type="dxa"/>
            <w:bottom w:w="15" w:type="dxa"/>
            <w:right w:w="15" w:type="dxa"/>
          </w:tblCellMar>
        </w:tblPrEx>
        <w:trPr>
          <w:trHeight w:val="360" w:hRule="atLeast"/>
        </w:trPr>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司法鉴定森林生态系统服务功能核查</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2400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660</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630</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600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570</w:t>
            </w:r>
          </w:p>
        </w:tc>
      </w:tr>
      <w:tr>
        <w:tblPrEx>
          <w:tblCellMar>
            <w:top w:w="15" w:type="dxa"/>
            <w:left w:w="15" w:type="dxa"/>
            <w:bottom w:w="15" w:type="dxa"/>
            <w:right w:w="15" w:type="dxa"/>
          </w:tblCellMar>
        </w:tblPrEx>
        <w:trPr>
          <w:trHeight w:val="286" w:hRule="atLeast"/>
        </w:trPr>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森林资源灾害损失调查</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1800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480</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450</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420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390</w:t>
            </w:r>
          </w:p>
        </w:tc>
      </w:tr>
      <w:tr>
        <w:tblPrEx>
          <w:tblCellMar>
            <w:top w:w="15" w:type="dxa"/>
            <w:left w:w="15" w:type="dxa"/>
            <w:bottom w:w="15" w:type="dxa"/>
            <w:right w:w="15" w:type="dxa"/>
          </w:tblCellMar>
        </w:tblPrEx>
        <w:trPr>
          <w:trHeight w:val="286" w:hRule="atLeast"/>
        </w:trPr>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司法鉴定森林资源灾害损失调查</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3000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630</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600</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570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540</w:t>
            </w:r>
          </w:p>
        </w:tc>
      </w:tr>
      <w:tr>
        <w:tblPrEx>
          <w:tblCellMar>
            <w:top w:w="15" w:type="dxa"/>
            <w:left w:w="15" w:type="dxa"/>
            <w:bottom w:w="15" w:type="dxa"/>
            <w:right w:w="15" w:type="dxa"/>
          </w:tblCellMar>
        </w:tblPrEx>
        <w:trPr>
          <w:trHeight w:val="286" w:hRule="atLeast"/>
        </w:trPr>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农业灾害损失调查</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1800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480</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450</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420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390</w:t>
            </w:r>
          </w:p>
        </w:tc>
      </w:tr>
      <w:tr>
        <w:tblPrEx>
          <w:tblCellMar>
            <w:top w:w="15" w:type="dxa"/>
            <w:left w:w="15" w:type="dxa"/>
            <w:bottom w:w="15" w:type="dxa"/>
            <w:right w:w="15" w:type="dxa"/>
          </w:tblCellMar>
        </w:tblPrEx>
        <w:trPr>
          <w:trHeight w:val="286" w:hRule="atLeast"/>
        </w:trPr>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司法鉴定农业灾害损失调查</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2400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600</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570</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540</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510</w:t>
            </w:r>
          </w:p>
        </w:tc>
      </w:tr>
      <w:tr>
        <w:tblPrEx>
          <w:tblCellMar>
            <w:top w:w="15" w:type="dxa"/>
            <w:left w:w="15" w:type="dxa"/>
            <w:bottom w:w="15" w:type="dxa"/>
            <w:right w:w="15" w:type="dxa"/>
          </w:tblCellMar>
        </w:tblPrEx>
        <w:trPr>
          <w:trHeight w:val="286" w:hRule="atLeast"/>
        </w:trPr>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渔业灾害损失调查</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3000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900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860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820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780</w:t>
            </w:r>
          </w:p>
        </w:tc>
      </w:tr>
      <w:tr>
        <w:tblPrEx>
          <w:tblCellMar>
            <w:top w:w="15" w:type="dxa"/>
            <w:left w:w="15" w:type="dxa"/>
            <w:bottom w:w="15" w:type="dxa"/>
            <w:right w:w="15" w:type="dxa"/>
          </w:tblCellMar>
        </w:tblPrEx>
        <w:trPr>
          <w:trHeight w:val="286" w:hRule="atLeast"/>
        </w:trPr>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司法鉴定渔业灾害损失调查</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1200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1140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1080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1020</w:t>
            </w:r>
          </w:p>
        </w:tc>
      </w:tr>
      <w:tr>
        <w:tblPrEx>
          <w:tblCellMar>
            <w:top w:w="15" w:type="dxa"/>
            <w:left w:w="15" w:type="dxa"/>
            <w:bottom w:w="15" w:type="dxa"/>
            <w:right w:w="15" w:type="dxa"/>
          </w:tblCellMar>
        </w:tblPrEx>
        <w:trPr>
          <w:trHeight w:val="286" w:hRule="atLeast"/>
        </w:trPr>
        <w:tc>
          <w:tcPr>
            <w:tcW w:w="8802" w:type="dxa"/>
            <w:gridSpan w:val="6"/>
            <w:shd w:val="clear" w:color="auto" w:fill="auto"/>
            <w:vAlign w:val="center"/>
          </w:tcPr>
          <w:p>
            <w:pPr>
              <w:widowControl/>
              <w:jc w:val="center"/>
              <w:textAlignment w:val="center"/>
              <w:rPr>
                <w:rFonts w:ascii="仿宋" w:hAnsi="仿宋" w:eastAsia="仿宋" w:cs="仿宋"/>
                <w:b/>
                <w:color w:val="000000"/>
                <w:kern w:val="0"/>
                <w:sz w:val="20"/>
                <w:szCs w:val="20"/>
              </w:rPr>
            </w:pPr>
          </w:p>
          <w:p>
            <w:pPr>
              <w:widowControl/>
              <w:jc w:val="center"/>
              <w:textAlignment w:val="center"/>
              <w:rPr>
                <w:rFonts w:ascii="仿宋" w:hAnsi="仿宋" w:eastAsia="仿宋" w:cs="仿宋"/>
                <w:b/>
                <w:color w:val="000000"/>
                <w:kern w:val="0"/>
                <w:sz w:val="20"/>
                <w:szCs w:val="20"/>
              </w:rPr>
            </w:pPr>
            <w:r>
              <w:rPr>
                <w:rFonts w:hint="eastAsia" w:ascii="仿宋" w:hAnsi="仿宋" w:eastAsia="仿宋" w:cs="仿宋"/>
                <w:b/>
                <w:color w:val="000000"/>
                <w:kern w:val="0"/>
                <w:sz w:val="20"/>
                <w:szCs w:val="20"/>
              </w:rPr>
              <w:t xml:space="preserve"> 注：收费计算公式：收费（元）=收费基价*通用调整系数（T）*专业调整系数（Z）。</w:t>
            </w:r>
          </w:p>
          <w:p>
            <w:pPr>
              <w:widowControl/>
              <w:jc w:val="center"/>
              <w:textAlignment w:val="center"/>
              <w:rPr>
                <w:rFonts w:ascii="宋体" w:hAnsi="宋体" w:eastAsia="宋体" w:cs="宋体"/>
                <w:b/>
                <w:color w:val="000000"/>
                <w:sz w:val="20"/>
                <w:szCs w:val="20"/>
              </w:rPr>
            </w:pPr>
          </w:p>
        </w:tc>
      </w:tr>
    </w:tbl>
    <w:p>
      <w:pPr>
        <w:pStyle w:val="2"/>
        <w:shd w:val="clear" w:color="auto" w:fill="FFFFFF"/>
        <w:spacing w:before="0" w:beforeAutospacing="0" w:after="300" w:afterAutospacing="0"/>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第十七条</w:t>
      </w:r>
      <w:r>
        <w:rPr>
          <w:rFonts w:hint="eastAsia" w:ascii="仿宋" w:hAnsi="仿宋" w:eastAsia="仿宋" w:cs="仿宋"/>
          <w:color w:val="000000" w:themeColor="text1"/>
          <w:sz w:val="32"/>
          <w:szCs w:val="32"/>
          <w14:textFill>
            <w14:solidFill>
              <w14:schemeClr w14:val="tx1"/>
            </w14:solidFill>
          </w14:textFill>
        </w:rPr>
        <w:t xml:space="preserve"> 价格鉴证评估服务项目收费调整系数（X）分通用调整系数（T）和专业调整系数（Z）。调整系数的使用，采用多个调整系数累计相乘计算（X=T*Z）。</w:t>
      </w:r>
    </w:p>
    <w:p>
      <w:pPr>
        <w:pStyle w:val="2"/>
        <w:shd w:val="clear" w:color="auto" w:fill="FFFFFF"/>
        <w:spacing w:before="0" w:beforeAutospacing="0" w:after="300" w:afterAutospacing="0"/>
        <w:ind w:firstLine="640" w:firstLineChars="200"/>
        <w:rPr>
          <w:rFonts w:ascii="仿宋" w:hAnsi="仿宋" w:eastAsia="仿宋" w:cs="仿宋"/>
          <w:color w:val="000000" w:themeColor="text1"/>
          <w:sz w:val="32"/>
          <w:szCs w:val="32"/>
          <w14:textFill>
            <w14:solidFill>
              <w14:schemeClr w14:val="tx1"/>
            </w14:solidFill>
          </w14:textFill>
        </w:rPr>
      </w:pPr>
    </w:p>
    <w:tbl>
      <w:tblPr>
        <w:tblStyle w:val="3"/>
        <w:tblW w:w="8595" w:type="dxa"/>
        <w:tblInd w:w="0" w:type="dxa"/>
        <w:tblLayout w:type="fixed"/>
        <w:tblCellMar>
          <w:top w:w="15" w:type="dxa"/>
          <w:left w:w="15" w:type="dxa"/>
          <w:bottom w:w="15" w:type="dxa"/>
          <w:right w:w="15" w:type="dxa"/>
        </w:tblCellMar>
      </w:tblPr>
      <w:tblGrid>
        <w:gridCol w:w="795"/>
        <w:gridCol w:w="1891"/>
        <w:gridCol w:w="2836"/>
        <w:gridCol w:w="1561"/>
        <w:gridCol w:w="1512"/>
      </w:tblGrid>
      <w:tr>
        <w:tblPrEx>
          <w:tblCellMar>
            <w:top w:w="15" w:type="dxa"/>
            <w:left w:w="15" w:type="dxa"/>
            <w:bottom w:w="15" w:type="dxa"/>
            <w:right w:w="15" w:type="dxa"/>
          </w:tblCellMar>
        </w:tblPrEx>
        <w:trPr>
          <w:trHeight w:val="465" w:hRule="atLeast"/>
        </w:trPr>
        <w:tc>
          <w:tcPr>
            <w:tcW w:w="8595" w:type="dxa"/>
            <w:gridSpan w:val="5"/>
            <w:shd w:val="clear" w:color="auto" w:fill="auto"/>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价格鉴证评估野外资源资产调查通用调整系数T</w:t>
            </w:r>
          </w:p>
        </w:tc>
      </w:tr>
      <w:tr>
        <w:tblPrEx>
          <w:tblCellMar>
            <w:top w:w="15" w:type="dxa"/>
            <w:left w:w="15" w:type="dxa"/>
            <w:bottom w:w="15" w:type="dxa"/>
            <w:right w:w="15" w:type="dxa"/>
          </w:tblCellMar>
        </w:tblPrEx>
        <w:trPr>
          <w:trHeight w:val="286" w:hRule="atLeast"/>
        </w:trPr>
        <w:tc>
          <w:tcPr>
            <w:tcW w:w="795" w:type="dxa"/>
            <w:shd w:val="clear" w:color="auto" w:fill="auto"/>
            <w:vAlign w:val="center"/>
          </w:tcPr>
          <w:p>
            <w:pPr>
              <w:rPr>
                <w:rFonts w:ascii="仿宋" w:hAnsi="仿宋" w:eastAsia="仿宋" w:cs="仿宋"/>
                <w:color w:val="000000"/>
                <w:sz w:val="20"/>
                <w:szCs w:val="20"/>
              </w:rPr>
            </w:pPr>
          </w:p>
        </w:tc>
        <w:tc>
          <w:tcPr>
            <w:tcW w:w="1891" w:type="dxa"/>
            <w:shd w:val="clear" w:color="auto" w:fill="auto"/>
            <w:vAlign w:val="center"/>
          </w:tcPr>
          <w:p>
            <w:pPr>
              <w:rPr>
                <w:rFonts w:ascii="仿宋" w:hAnsi="仿宋" w:eastAsia="仿宋" w:cs="仿宋"/>
                <w:color w:val="000000"/>
                <w:sz w:val="20"/>
                <w:szCs w:val="20"/>
              </w:rPr>
            </w:pPr>
          </w:p>
        </w:tc>
        <w:tc>
          <w:tcPr>
            <w:tcW w:w="2836" w:type="dxa"/>
            <w:shd w:val="clear" w:color="auto" w:fill="auto"/>
            <w:vAlign w:val="center"/>
          </w:tcPr>
          <w:p>
            <w:pPr>
              <w:rPr>
                <w:rFonts w:ascii="仿宋" w:hAnsi="仿宋" w:eastAsia="仿宋" w:cs="仿宋"/>
                <w:color w:val="000000"/>
                <w:sz w:val="20"/>
                <w:szCs w:val="20"/>
              </w:rPr>
            </w:pPr>
          </w:p>
        </w:tc>
        <w:tc>
          <w:tcPr>
            <w:tcW w:w="1561" w:type="dxa"/>
            <w:shd w:val="clear" w:color="auto" w:fill="auto"/>
            <w:vAlign w:val="center"/>
          </w:tcPr>
          <w:p>
            <w:pPr>
              <w:rPr>
                <w:rFonts w:ascii="仿宋" w:hAnsi="仿宋" w:eastAsia="仿宋" w:cs="仿宋"/>
                <w:color w:val="000000"/>
                <w:sz w:val="20"/>
                <w:szCs w:val="20"/>
              </w:rPr>
            </w:pPr>
          </w:p>
        </w:tc>
        <w:tc>
          <w:tcPr>
            <w:tcW w:w="1512" w:type="dxa"/>
            <w:shd w:val="clear" w:color="auto" w:fill="auto"/>
            <w:vAlign w:val="center"/>
          </w:tcPr>
          <w:p>
            <w:pPr>
              <w:widowControl/>
              <w:jc w:val="right"/>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表4</w:t>
            </w:r>
          </w:p>
        </w:tc>
      </w:tr>
      <w:tr>
        <w:tblPrEx>
          <w:tblCellMar>
            <w:top w:w="15" w:type="dxa"/>
            <w:left w:w="15" w:type="dxa"/>
            <w:bottom w:w="15" w:type="dxa"/>
            <w:right w:w="15" w:type="dxa"/>
          </w:tblCellMar>
        </w:tblPrEx>
        <w:trPr>
          <w:trHeight w:val="3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序号</w:t>
            </w:r>
          </w:p>
        </w:tc>
        <w:tc>
          <w:tcPr>
            <w:tcW w:w="4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社会环境条件</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系数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备注</w:t>
            </w:r>
          </w:p>
        </w:tc>
      </w:tr>
      <w:tr>
        <w:tblPrEx>
          <w:tblCellMar>
            <w:top w:w="15" w:type="dxa"/>
            <w:left w:w="15" w:type="dxa"/>
            <w:bottom w:w="15" w:type="dxa"/>
            <w:right w:w="15" w:type="dxa"/>
          </w:tblCellMar>
        </w:tblPrEx>
        <w:trPr>
          <w:trHeight w:val="36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T1</w:t>
            </w: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经济发达程度T1</w:t>
            </w:r>
          </w:p>
        </w:tc>
        <w:tc>
          <w:tcPr>
            <w:tcW w:w="2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东部山区</w:t>
            </w:r>
          </w:p>
        </w:tc>
        <w:tc>
          <w:tcPr>
            <w:tcW w:w="15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1.1</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r>
      <w:tr>
        <w:tblPrEx>
          <w:tblCellMar>
            <w:top w:w="15" w:type="dxa"/>
            <w:left w:w="15" w:type="dxa"/>
            <w:bottom w:w="15" w:type="dxa"/>
            <w:right w:w="15" w:type="dxa"/>
          </w:tblCellMar>
        </w:tblPrEx>
        <w:trPr>
          <w:trHeight w:val="36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2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西部地区</w:t>
            </w:r>
          </w:p>
        </w:tc>
        <w:tc>
          <w:tcPr>
            <w:tcW w:w="15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0.8</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r>
      <w:tr>
        <w:tblPrEx>
          <w:tblCellMar>
            <w:top w:w="15" w:type="dxa"/>
            <w:left w:w="15" w:type="dxa"/>
            <w:bottom w:w="15" w:type="dxa"/>
            <w:right w:w="15" w:type="dxa"/>
          </w:tblCellMar>
        </w:tblPrEx>
        <w:trPr>
          <w:trHeight w:val="64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T2</w:t>
            </w:r>
          </w:p>
        </w:tc>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作业时平均气温T2</w:t>
            </w:r>
          </w:p>
        </w:tc>
        <w:tc>
          <w:tcPr>
            <w:tcW w:w="2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≥38℃或者≤-20℃条件</w:t>
            </w:r>
          </w:p>
        </w:tc>
        <w:tc>
          <w:tcPr>
            <w:tcW w:w="15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1.2</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以当地气象台报告为准</w:t>
            </w:r>
          </w:p>
        </w:tc>
      </w:tr>
      <w:tr>
        <w:tblPrEx>
          <w:tblCellMar>
            <w:top w:w="15" w:type="dxa"/>
            <w:left w:w="15" w:type="dxa"/>
            <w:bottom w:w="15" w:type="dxa"/>
            <w:right w:w="15" w:type="dxa"/>
          </w:tblCellMar>
        </w:tblPrEx>
        <w:trPr>
          <w:trHeight w:val="36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T3</w:t>
            </w: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交通距离T3</w:t>
            </w:r>
          </w:p>
        </w:tc>
        <w:tc>
          <w:tcPr>
            <w:tcW w:w="2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50～100公里</w:t>
            </w:r>
          </w:p>
        </w:tc>
        <w:tc>
          <w:tcPr>
            <w:tcW w:w="15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1.1</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r>
      <w:tr>
        <w:tblPrEx>
          <w:tblCellMar>
            <w:top w:w="15" w:type="dxa"/>
            <w:left w:w="15" w:type="dxa"/>
            <w:bottom w:w="15" w:type="dxa"/>
            <w:right w:w="15" w:type="dxa"/>
          </w:tblCellMar>
        </w:tblPrEx>
        <w:trPr>
          <w:trHeight w:val="36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2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101～200公里</w:t>
            </w:r>
          </w:p>
        </w:tc>
        <w:tc>
          <w:tcPr>
            <w:tcW w:w="15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1.2</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r>
      <w:tr>
        <w:tblPrEx>
          <w:tblCellMar>
            <w:top w:w="15" w:type="dxa"/>
            <w:left w:w="15" w:type="dxa"/>
            <w:bottom w:w="15" w:type="dxa"/>
            <w:right w:w="15" w:type="dxa"/>
          </w:tblCellMar>
        </w:tblPrEx>
        <w:trPr>
          <w:trHeight w:val="36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2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w:t>
            </w:r>
            <w:r>
              <w:rPr>
                <w:rFonts w:hint="eastAsia" w:ascii="仿宋" w:hAnsi="仿宋" w:eastAsia="仿宋" w:cs="仿宋"/>
                <w:b/>
                <w:color w:val="000000"/>
                <w:kern w:val="0"/>
                <w:sz w:val="20"/>
                <w:szCs w:val="20"/>
                <w:lang w:val="en-US" w:eastAsia="zh-CN"/>
              </w:rPr>
              <w:t>0</w:t>
            </w:r>
            <w:r>
              <w:rPr>
                <w:rFonts w:hint="eastAsia" w:ascii="仿宋" w:hAnsi="仿宋" w:eastAsia="仿宋" w:cs="仿宋"/>
                <w:b/>
                <w:color w:val="000000"/>
                <w:kern w:val="0"/>
                <w:sz w:val="20"/>
                <w:szCs w:val="20"/>
              </w:rPr>
              <w:t>0</w:t>
            </w:r>
            <w:r>
              <w:rPr>
                <w:rFonts w:hint="eastAsia" w:ascii="仿宋" w:hAnsi="仿宋" w:eastAsia="仿宋" w:cs="仿宋"/>
                <w:b/>
                <w:color w:val="000000"/>
                <w:kern w:val="0"/>
                <w:sz w:val="20"/>
                <w:szCs w:val="20"/>
                <w:lang w:eastAsia="zh-CN"/>
              </w:rPr>
              <w:t>公里</w:t>
            </w:r>
            <w:r>
              <w:rPr>
                <w:rFonts w:hint="eastAsia" w:ascii="仿宋" w:hAnsi="仿宋" w:eastAsia="仿宋" w:cs="仿宋"/>
                <w:b/>
                <w:color w:val="000000"/>
                <w:kern w:val="0"/>
                <w:sz w:val="20"/>
                <w:szCs w:val="20"/>
              </w:rPr>
              <w:t>以上</w:t>
            </w:r>
          </w:p>
        </w:tc>
        <w:tc>
          <w:tcPr>
            <w:tcW w:w="15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双方协商确定</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r>
      <w:tr>
        <w:tblPrEx>
          <w:tblCellMar>
            <w:top w:w="15" w:type="dxa"/>
            <w:left w:w="15" w:type="dxa"/>
            <w:bottom w:w="15" w:type="dxa"/>
            <w:right w:w="15" w:type="dxa"/>
          </w:tblCellMar>
        </w:tblPrEx>
        <w:trPr>
          <w:trHeight w:val="36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T4</w:t>
            </w: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地形地貌T4</w:t>
            </w:r>
          </w:p>
        </w:tc>
        <w:tc>
          <w:tcPr>
            <w:tcW w:w="2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丘陵、低山</w:t>
            </w:r>
          </w:p>
        </w:tc>
        <w:tc>
          <w:tcPr>
            <w:tcW w:w="15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1.1</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r>
      <w:tr>
        <w:tblPrEx>
          <w:tblCellMar>
            <w:top w:w="15" w:type="dxa"/>
            <w:left w:w="15" w:type="dxa"/>
            <w:bottom w:w="15" w:type="dxa"/>
            <w:right w:w="15" w:type="dxa"/>
          </w:tblCellMar>
        </w:tblPrEx>
        <w:trPr>
          <w:trHeight w:val="36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2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中山</w:t>
            </w:r>
          </w:p>
        </w:tc>
        <w:tc>
          <w:tcPr>
            <w:tcW w:w="15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1.2</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r>
      <w:tr>
        <w:tblPrEx>
          <w:tblCellMar>
            <w:top w:w="15" w:type="dxa"/>
            <w:left w:w="15" w:type="dxa"/>
            <w:bottom w:w="15" w:type="dxa"/>
            <w:right w:w="15" w:type="dxa"/>
          </w:tblCellMar>
        </w:tblPrEx>
        <w:trPr>
          <w:trHeight w:val="36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2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高山</w:t>
            </w:r>
          </w:p>
        </w:tc>
        <w:tc>
          <w:tcPr>
            <w:tcW w:w="15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1.3</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r>
      <w:tr>
        <w:tblPrEx>
          <w:tblCellMar>
            <w:top w:w="15" w:type="dxa"/>
            <w:left w:w="15" w:type="dxa"/>
            <w:bottom w:w="15" w:type="dxa"/>
            <w:right w:w="15" w:type="dxa"/>
          </w:tblCellMar>
        </w:tblPrEx>
        <w:trPr>
          <w:trHeight w:val="286" w:hRule="atLeast"/>
        </w:trPr>
        <w:tc>
          <w:tcPr>
            <w:tcW w:w="8595" w:type="dxa"/>
            <w:gridSpan w:val="5"/>
            <w:shd w:val="clear" w:color="auto" w:fill="auto"/>
            <w:vAlign w:val="center"/>
          </w:tcPr>
          <w:p>
            <w:pPr>
              <w:widowControl/>
              <w:ind w:firstLine="402" w:firstLineChars="200"/>
              <w:jc w:val="left"/>
              <w:textAlignment w:val="center"/>
              <w:rPr>
                <w:rFonts w:ascii="宋体" w:hAnsi="宋体" w:eastAsia="宋体" w:cs="宋体"/>
                <w:b/>
                <w:color w:val="000000"/>
                <w:sz w:val="20"/>
                <w:szCs w:val="20"/>
              </w:rPr>
            </w:pPr>
            <w:r>
              <w:rPr>
                <w:rFonts w:hint="eastAsia" w:ascii="仿宋" w:hAnsi="仿宋" w:eastAsia="仿宋" w:cs="仿宋"/>
                <w:b/>
                <w:color w:val="000000"/>
                <w:kern w:val="0"/>
                <w:sz w:val="20"/>
                <w:szCs w:val="20"/>
              </w:rPr>
              <w:t xml:space="preserve"> 注：通用系数的使用，采用多个调整系数累计相乘计算（X=T*T）。</w:t>
            </w:r>
          </w:p>
        </w:tc>
      </w:tr>
    </w:tbl>
    <w:p>
      <w:pPr>
        <w:widowControl/>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widowControl/>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第十八条</w:t>
      </w:r>
      <w:r>
        <w:rPr>
          <w:rFonts w:hint="eastAsia" w:ascii="仿宋" w:hAnsi="仿宋" w:eastAsia="仿宋" w:cs="仿宋"/>
          <w:color w:val="000000" w:themeColor="text1"/>
          <w:sz w:val="32"/>
          <w:szCs w:val="32"/>
          <w14:textFill>
            <w14:solidFill>
              <w14:schemeClr w14:val="tx1"/>
            </w14:solidFill>
          </w14:textFill>
        </w:rPr>
        <w:t xml:space="preserve">  价格鉴证评估服务项目核查、</w:t>
      </w:r>
      <w:r>
        <w:rPr>
          <w:rFonts w:hint="eastAsia" w:ascii="仿宋" w:hAnsi="仿宋" w:eastAsia="仿宋" w:cs="仿宋"/>
          <w:color w:val="000000" w:themeColor="text1"/>
          <w:kern w:val="0"/>
          <w:sz w:val="32"/>
          <w:szCs w:val="32"/>
          <w14:textFill>
            <w14:solidFill>
              <w14:schemeClr w14:val="tx1"/>
            </w14:solidFill>
          </w14:textFill>
        </w:rPr>
        <w:t>调查收费，依据</w:t>
      </w:r>
      <w:r>
        <w:rPr>
          <w:rFonts w:hint="eastAsia" w:ascii="仿宋" w:hAnsi="仿宋" w:eastAsia="仿宋" w:cs="仿宋"/>
          <w:color w:val="000000" w:themeColor="text1"/>
          <w:sz w:val="32"/>
          <w:szCs w:val="32"/>
          <w14:textFill>
            <w14:solidFill>
              <w14:schemeClr w14:val="tx1"/>
            </w14:solidFill>
          </w14:textFill>
        </w:rPr>
        <w:t>资源</w:t>
      </w:r>
      <w:r>
        <w:rPr>
          <w:rFonts w:hint="eastAsia" w:ascii="仿宋" w:hAnsi="仿宋" w:eastAsia="仿宋" w:cs="仿宋"/>
          <w:color w:val="000000" w:themeColor="text1"/>
          <w:kern w:val="0"/>
          <w:sz w:val="32"/>
          <w:szCs w:val="32"/>
          <w14:textFill>
            <w14:solidFill>
              <w14:schemeClr w14:val="tx1"/>
            </w14:solidFill>
          </w14:textFill>
        </w:rPr>
        <w:t>资产实物量调查量大小确定专业调整系数（Z）。</w:t>
      </w:r>
    </w:p>
    <w:p>
      <w:pPr>
        <w:widowControl/>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进行野外资源、资产、设施等的核查、调查和现场勘查收费，按照基础价格乘以调整系数来计算。</w:t>
      </w:r>
    </w:p>
    <w:p>
      <w:pPr>
        <w:widowControl/>
        <w:ind w:firstLine="642"/>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第十九条</w:t>
      </w:r>
      <w:r>
        <w:rPr>
          <w:rFonts w:hint="eastAsia" w:ascii="仿宋" w:hAnsi="仿宋" w:eastAsia="仿宋" w:cs="仿宋"/>
          <w:color w:val="000000" w:themeColor="text1"/>
          <w:sz w:val="32"/>
          <w:szCs w:val="32"/>
          <w14:textFill>
            <w14:solidFill>
              <w14:schemeClr w14:val="tx1"/>
            </w14:solidFill>
          </w14:textFill>
        </w:rPr>
        <w:t>  通用调整系数依据不同地区的社会环境、立地条件确定，适用于所有价格评估的核查和调查项目。</w:t>
      </w:r>
    </w:p>
    <w:p>
      <w:pPr>
        <w:widowControl/>
        <w:shd w:val="clear" w:color="auto" w:fill="FFFFFF"/>
        <w:ind w:firstLine="643"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第二十条</w:t>
      </w:r>
      <w:r>
        <w:rPr>
          <w:rFonts w:hint="eastAsia" w:ascii="仿宋" w:hAnsi="仿宋" w:eastAsia="仿宋" w:cs="仿宋"/>
          <w:color w:val="000000" w:themeColor="text1"/>
          <w:sz w:val="32"/>
          <w:szCs w:val="32"/>
          <w14:textFill>
            <w14:solidFill>
              <w14:schemeClr w14:val="tx1"/>
            </w14:solidFill>
          </w14:textFill>
        </w:rPr>
        <w:t xml:space="preserve">  专业调整系数依据农林牧副渔业、土地、水利设施；机械设备、产品、商品、环境质量等的专业要求确定。</w:t>
      </w:r>
    </w:p>
    <w:p>
      <w:pPr>
        <w:widowControl/>
        <w:shd w:val="clear" w:color="auto" w:fill="FFFFFF"/>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专业调整系数只适用于某一专业项目的核查和调查收费。包含二个以上核查和调查的专业项目，专业调整系数采用累计相乘计算（X= T*Z*Z）。 </w:t>
      </w:r>
    </w:p>
    <w:tbl>
      <w:tblPr>
        <w:tblStyle w:val="3"/>
        <w:tblW w:w="8662" w:type="dxa"/>
        <w:tblInd w:w="0" w:type="dxa"/>
        <w:tblLayout w:type="fixed"/>
        <w:tblCellMar>
          <w:top w:w="15" w:type="dxa"/>
          <w:left w:w="15" w:type="dxa"/>
          <w:bottom w:w="15" w:type="dxa"/>
          <w:right w:w="15" w:type="dxa"/>
        </w:tblCellMar>
      </w:tblPr>
      <w:tblGrid>
        <w:gridCol w:w="2322"/>
        <w:gridCol w:w="2324"/>
        <w:gridCol w:w="1465"/>
        <w:gridCol w:w="2551"/>
      </w:tblGrid>
      <w:tr>
        <w:tblPrEx>
          <w:tblCellMar>
            <w:top w:w="15" w:type="dxa"/>
            <w:left w:w="15" w:type="dxa"/>
            <w:bottom w:w="15" w:type="dxa"/>
            <w:right w:w="15" w:type="dxa"/>
          </w:tblCellMar>
        </w:tblPrEx>
        <w:trPr>
          <w:trHeight w:val="510" w:hRule="atLeast"/>
        </w:trPr>
        <w:tc>
          <w:tcPr>
            <w:tcW w:w="8662" w:type="dxa"/>
            <w:gridSpan w:val="4"/>
            <w:shd w:val="clear" w:color="auto" w:fill="auto"/>
            <w:vAlign w:val="center"/>
          </w:tcPr>
          <w:p>
            <w:pPr>
              <w:widowControl/>
              <w:jc w:val="center"/>
              <w:textAlignment w:val="center"/>
              <w:rPr>
                <w:rFonts w:ascii="宋体" w:hAnsi="宋体" w:eastAsia="宋体" w:cs="宋体"/>
                <w:b/>
                <w:color w:val="000000"/>
                <w:kern w:val="0"/>
                <w:sz w:val="24"/>
                <w:szCs w:val="24"/>
              </w:rPr>
            </w:pPr>
          </w:p>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价格鉴证评估野外资源资产调查专业调整系数Z</w:t>
            </w:r>
          </w:p>
        </w:tc>
      </w:tr>
      <w:tr>
        <w:tblPrEx>
          <w:tblCellMar>
            <w:top w:w="15" w:type="dxa"/>
            <w:left w:w="15" w:type="dxa"/>
            <w:bottom w:w="15" w:type="dxa"/>
            <w:right w:w="15" w:type="dxa"/>
          </w:tblCellMar>
        </w:tblPrEx>
        <w:trPr>
          <w:trHeight w:val="301" w:hRule="atLeast"/>
        </w:trPr>
        <w:tc>
          <w:tcPr>
            <w:tcW w:w="2322" w:type="dxa"/>
            <w:tcBorders>
              <w:bottom w:val="single" w:color="000000" w:sz="4" w:space="0"/>
            </w:tcBorders>
            <w:shd w:val="clear" w:color="auto" w:fill="auto"/>
            <w:vAlign w:val="center"/>
          </w:tcPr>
          <w:p>
            <w:pPr>
              <w:rPr>
                <w:rFonts w:ascii="仿宋" w:hAnsi="仿宋" w:eastAsia="仿宋" w:cs="仿宋"/>
                <w:b/>
                <w:color w:val="000000"/>
                <w:sz w:val="20"/>
                <w:szCs w:val="20"/>
              </w:rPr>
            </w:pPr>
          </w:p>
        </w:tc>
        <w:tc>
          <w:tcPr>
            <w:tcW w:w="2324" w:type="dxa"/>
            <w:tcBorders>
              <w:bottom w:val="single" w:color="000000" w:sz="4" w:space="0"/>
            </w:tcBorders>
            <w:shd w:val="clear" w:color="auto" w:fill="auto"/>
            <w:vAlign w:val="center"/>
          </w:tcPr>
          <w:p>
            <w:pPr>
              <w:rPr>
                <w:rFonts w:ascii="仿宋" w:hAnsi="仿宋" w:eastAsia="仿宋" w:cs="仿宋"/>
                <w:b/>
                <w:color w:val="000000"/>
                <w:sz w:val="20"/>
                <w:szCs w:val="20"/>
              </w:rPr>
            </w:pPr>
          </w:p>
        </w:tc>
        <w:tc>
          <w:tcPr>
            <w:tcW w:w="1465" w:type="dxa"/>
            <w:shd w:val="clear" w:color="auto" w:fill="auto"/>
            <w:vAlign w:val="center"/>
          </w:tcPr>
          <w:p>
            <w:pPr>
              <w:rPr>
                <w:rFonts w:ascii="宋体" w:hAnsi="宋体" w:eastAsia="宋体" w:cs="宋体"/>
                <w:color w:val="000000"/>
                <w:sz w:val="24"/>
                <w:szCs w:val="24"/>
              </w:rPr>
            </w:pPr>
          </w:p>
        </w:tc>
        <w:tc>
          <w:tcPr>
            <w:tcW w:w="2551" w:type="dxa"/>
            <w:tcBorders>
              <w:bottom w:val="single" w:color="000000" w:sz="4" w:space="0"/>
            </w:tcBorders>
            <w:shd w:val="clear" w:color="auto" w:fill="auto"/>
            <w:vAlign w:val="center"/>
          </w:tcPr>
          <w:p>
            <w:pPr>
              <w:widowControl/>
              <w:jc w:val="right"/>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表5</w:t>
            </w:r>
          </w:p>
        </w:tc>
      </w:tr>
      <w:tr>
        <w:tblPrEx>
          <w:tblCellMar>
            <w:top w:w="15" w:type="dxa"/>
            <w:left w:w="15" w:type="dxa"/>
            <w:bottom w:w="15" w:type="dxa"/>
            <w:right w:w="15" w:type="dxa"/>
          </w:tblCellMar>
        </w:tblPrEx>
        <w:trPr>
          <w:trHeight w:val="675" w:hRule="atLeast"/>
        </w:trPr>
        <w:tc>
          <w:tcPr>
            <w:tcW w:w="4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条件</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系数</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备注</w:t>
            </w:r>
          </w:p>
        </w:tc>
      </w:tr>
      <w:tr>
        <w:tblPrEx>
          <w:tblCellMar>
            <w:top w:w="15" w:type="dxa"/>
            <w:left w:w="15" w:type="dxa"/>
            <w:bottom w:w="15" w:type="dxa"/>
            <w:right w:w="15" w:type="dxa"/>
          </w:tblCellMar>
        </w:tblPrEx>
        <w:trPr>
          <w:trHeight w:val="301" w:hRule="atLeast"/>
        </w:trPr>
        <w:tc>
          <w:tcPr>
            <w:tcW w:w="2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小班林地所占比例Z1</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70%以上</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50%-70%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25%-50%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10%-25%</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10%以下</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小班林分结构Z2</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未成林造林地</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幼龄林</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经济林</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中龄林</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近过熟林</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林木（园林）苗圃地Z3</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林下</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山地</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丘陵</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平原</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林木（园林）苗圃苗木Z4</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播种苗</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苗床地</w:t>
            </w: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扦插苗</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床、垄作平均3㎝以下</w:t>
            </w: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大苗</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垄作4-10㎝</w:t>
            </w: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移栽树木</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垄作平均11㎝以上</w:t>
            </w:r>
          </w:p>
        </w:tc>
      </w:tr>
      <w:tr>
        <w:tblPrEx>
          <w:tblCellMar>
            <w:top w:w="15" w:type="dxa"/>
            <w:left w:w="15" w:type="dxa"/>
            <w:bottom w:w="15" w:type="dxa"/>
            <w:right w:w="15" w:type="dxa"/>
          </w:tblCellMar>
        </w:tblPrEx>
        <w:trPr>
          <w:trHeight w:val="301" w:hRule="atLeast"/>
        </w:trPr>
        <w:tc>
          <w:tcPr>
            <w:tcW w:w="2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森林资源自然灾害Z5</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远山</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1.2</w:t>
            </w:r>
          </w:p>
        </w:tc>
        <w:tc>
          <w:tcPr>
            <w:tcW w:w="2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森林病虫害、森林火灾、旱灾、水灾等。</w:t>
            </w: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陡坡</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1.1</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丘陵</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平原</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0.9</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农业灾害损失Z6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远山</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1.1</w:t>
            </w:r>
          </w:p>
        </w:tc>
        <w:tc>
          <w:tcPr>
            <w:tcW w:w="2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农作物旱灾、涝灾、冰雹、水灾、风灾、虫灾等。</w:t>
            </w: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陡坡</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丘陵</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0.9</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平原</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0.8</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渔业灾害损失Z7</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江湖</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1.1</w:t>
            </w:r>
          </w:p>
        </w:tc>
        <w:tc>
          <w:tcPr>
            <w:tcW w:w="2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水灾、外来生物、病害等</w:t>
            </w: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水库</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1</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泡子</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0.9</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301" w:hRule="atLeast"/>
        </w:trPr>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养鱼池</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0.8</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0"/>
                <w:szCs w:val="20"/>
              </w:rPr>
            </w:pPr>
          </w:p>
        </w:tc>
      </w:tr>
      <w:tr>
        <w:tblPrEx>
          <w:tblCellMar>
            <w:top w:w="15" w:type="dxa"/>
            <w:left w:w="15" w:type="dxa"/>
            <w:bottom w:w="15" w:type="dxa"/>
            <w:right w:w="15" w:type="dxa"/>
          </w:tblCellMar>
        </w:tblPrEx>
        <w:trPr>
          <w:trHeight w:val="286" w:hRule="atLeast"/>
        </w:trPr>
        <w:tc>
          <w:tcPr>
            <w:tcW w:w="8662" w:type="dxa"/>
            <w:gridSpan w:val="4"/>
            <w:shd w:val="clear" w:color="auto" w:fill="auto"/>
            <w:vAlign w:val="center"/>
          </w:tcPr>
          <w:p>
            <w:pPr>
              <w:widowControl/>
              <w:ind w:firstLine="402" w:firstLineChars="200"/>
              <w:jc w:val="left"/>
              <w:textAlignment w:val="center"/>
              <w:rPr>
                <w:rFonts w:ascii="仿宋" w:hAnsi="仿宋" w:eastAsia="仿宋" w:cs="仿宋"/>
                <w:b/>
                <w:color w:val="000000"/>
                <w:kern w:val="0"/>
                <w:sz w:val="20"/>
                <w:szCs w:val="20"/>
              </w:rPr>
            </w:pPr>
          </w:p>
          <w:p>
            <w:pPr>
              <w:widowControl/>
              <w:ind w:firstLine="402" w:firstLineChars="200"/>
              <w:jc w:val="left"/>
              <w:textAlignment w:val="center"/>
              <w:rPr>
                <w:rFonts w:ascii="宋体" w:hAnsi="宋体" w:eastAsia="宋体" w:cs="宋体"/>
                <w:b/>
                <w:color w:val="000000"/>
                <w:sz w:val="20"/>
                <w:szCs w:val="20"/>
              </w:rPr>
            </w:pPr>
            <w:r>
              <w:rPr>
                <w:rFonts w:hint="eastAsia" w:ascii="仿宋" w:hAnsi="仿宋" w:eastAsia="仿宋" w:cs="仿宋"/>
                <w:b/>
                <w:color w:val="000000"/>
                <w:kern w:val="0"/>
                <w:sz w:val="20"/>
                <w:szCs w:val="20"/>
              </w:rPr>
              <w:t xml:space="preserve"> 注：专业调整系数的使用，采用多个调整系数累计相乘计算（X=T*T*Z*Z）。</w:t>
            </w:r>
          </w:p>
        </w:tc>
      </w:tr>
    </w:tbl>
    <w:p>
      <w:pPr>
        <w:widowControl/>
        <w:shd w:val="clear" w:color="auto" w:fill="FFFFFF"/>
        <w:jc w:val="center"/>
        <w:rPr>
          <w:rFonts w:asciiTheme="majorEastAsia" w:hAnsiTheme="majorEastAsia" w:eastAsiaTheme="majorEastAsia" w:cstheme="majorEastAsia"/>
          <w:b/>
          <w:color w:val="000000" w:themeColor="text1"/>
          <w:sz w:val="32"/>
          <w:szCs w:val="32"/>
          <w14:textFill>
            <w14:solidFill>
              <w14:schemeClr w14:val="tx1"/>
            </w14:solidFill>
          </w14:textFill>
        </w:rPr>
      </w:pPr>
    </w:p>
    <w:p>
      <w:pPr>
        <w:widowControl/>
        <w:shd w:val="clear" w:color="auto" w:fill="FFFFFF"/>
        <w:jc w:val="center"/>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color w:val="000000" w:themeColor="text1"/>
          <w:sz w:val="32"/>
          <w:szCs w:val="32"/>
          <w14:textFill>
            <w14:solidFill>
              <w14:schemeClr w14:val="tx1"/>
            </w14:solidFill>
          </w14:textFill>
        </w:rPr>
        <w:t xml:space="preserve">第四章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价格鉴证评估勘验核查收费</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第二十一条</w:t>
      </w:r>
      <w:r>
        <w:rPr>
          <w:rFonts w:hint="eastAsia" w:ascii="仿宋" w:hAnsi="仿宋" w:eastAsia="仿宋" w:cs="仿宋"/>
          <w:color w:val="000000" w:themeColor="text1"/>
          <w:kern w:val="0"/>
          <w:sz w:val="32"/>
          <w:szCs w:val="32"/>
          <w14:textFill>
            <w14:solidFill>
              <w14:schemeClr w14:val="tx1"/>
            </w14:solidFill>
          </w14:textFill>
        </w:rPr>
        <w:t> 在价格鉴证评估过程中，根据委评物资、资产、产品状况，对需要按照国家相关规定进行勘察和数量现场核查，市场价格调查，专家进行论证的重大项目，应组织人力、物力实施作业，并且依据国家相关规定收取作业费用和人员报酬。</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第二十二条</w:t>
      </w:r>
      <w:r>
        <w:rPr>
          <w:rFonts w:hint="eastAsia" w:ascii="仿宋" w:hAnsi="仿宋" w:eastAsia="仿宋" w:cs="仿宋"/>
          <w:color w:val="000000" w:themeColor="text1"/>
          <w:kern w:val="0"/>
          <w:sz w:val="32"/>
          <w:szCs w:val="32"/>
          <w14:textFill>
            <w14:solidFill>
              <w14:schemeClr w14:val="tx1"/>
            </w14:solidFill>
          </w14:textFill>
        </w:rPr>
        <w:t> 价格鉴证评估服务项目涉及的物资、资产、设施、产品等核查、调查收费，国家和行业有规定的执行其规定。仓储物资、产品、商品的核查，可以协商实行计时收费标准。</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 xml:space="preserve">第二十三条 </w:t>
      </w:r>
      <w:r>
        <w:rPr>
          <w:rFonts w:hint="eastAsia" w:ascii="仿宋" w:hAnsi="仿宋" w:eastAsia="仿宋" w:cs="仿宋"/>
          <w:color w:val="000000" w:themeColor="text1"/>
          <w:kern w:val="0"/>
          <w:sz w:val="32"/>
          <w:szCs w:val="32"/>
          <w14:textFill>
            <w14:solidFill>
              <w14:schemeClr w14:val="tx1"/>
            </w14:solidFill>
          </w14:textFill>
        </w:rPr>
        <w:t xml:space="preserve"> 森林资源资产价格鉴证评估服务项目核查、调查，应符合《森林资源规划设计调查技术规程》（GBT 26424-2010）要求。按准备作业、野外调查、内业整理程序，前期准备作业按照野外调查的15%计费，内业整理按照野外调查的,25%计费，（不含遥感数据购置及处理费用）。</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第二十四条</w:t>
      </w:r>
      <w:r>
        <w:rPr>
          <w:rFonts w:hint="eastAsia" w:ascii="仿宋" w:hAnsi="仿宋" w:eastAsia="仿宋" w:cs="仿宋"/>
          <w:color w:val="000000" w:themeColor="text1"/>
          <w:kern w:val="0"/>
          <w:sz w:val="32"/>
          <w:szCs w:val="32"/>
          <w14:textFill>
            <w14:solidFill>
              <w14:schemeClr w14:val="tx1"/>
            </w14:solidFill>
          </w14:textFill>
        </w:rPr>
        <w:t xml:space="preserve">  林下植物、中草药材的核查按每平方米5元和调整系数计算收费。 </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 xml:space="preserve">第二十五条  </w:t>
      </w:r>
      <w:r>
        <w:rPr>
          <w:rFonts w:hint="eastAsia" w:ascii="仿宋" w:hAnsi="仿宋" w:eastAsia="仿宋" w:cs="仿宋"/>
          <w:color w:val="000000" w:themeColor="text1"/>
          <w:kern w:val="0"/>
          <w:sz w:val="32"/>
          <w:szCs w:val="32"/>
          <w14:textFill>
            <w14:solidFill>
              <w14:schemeClr w14:val="tx1"/>
            </w14:solidFill>
          </w14:textFill>
        </w:rPr>
        <w:t>林木（园林）种苗的核查，包括林木种子园、母树林，林木（园林）苗圃地，林木（园林）苗圃播种苗株数，林木（园林）苗圃扦插苗株数，林木（园林）苗圃大苗株数。</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第二十六条</w:t>
      </w:r>
      <w:r>
        <w:rPr>
          <w:rFonts w:hint="eastAsia" w:ascii="仿宋" w:hAnsi="仿宋" w:eastAsia="仿宋" w:cs="仿宋"/>
          <w:color w:val="000000" w:themeColor="text1"/>
          <w:kern w:val="0"/>
          <w:sz w:val="32"/>
          <w:szCs w:val="32"/>
          <w14:textFill>
            <w14:solidFill>
              <w14:schemeClr w14:val="tx1"/>
            </w14:solidFill>
          </w14:textFill>
        </w:rPr>
        <w:t xml:space="preserve">  灾害是指旱、涝、风、冰雹、水灾、火灾等自然灾害和人为的灾害。灾害损失核查，包括农业灾害、渔业灾害、林业灾害。</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第二十七条</w:t>
      </w:r>
      <w:r>
        <w:rPr>
          <w:rFonts w:hint="eastAsia" w:ascii="仿宋" w:hAnsi="仿宋" w:eastAsia="仿宋" w:cs="仿宋"/>
          <w:color w:val="000000" w:themeColor="text1"/>
          <w:kern w:val="0"/>
          <w:sz w:val="32"/>
          <w:szCs w:val="32"/>
          <w14:textFill>
            <w14:solidFill>
              <w14:schemeClr w14:val="tx1"/>
            </w14:solidFill>
          </w14:textFill>
        </w:rPr>
        <w:t xml:space="preserve">  价格鉴证评估服务项目，涉及司法鉴证认定，野外作业核查、调查，单独计算基础收费。</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第二十八条</w:t>
      </w:r>
      <w:r>
        <w:rPr>
          <w:rFonts w:hint="eastAsia" w:ascii="仿宋" w:hAnsi="仿宋" w:eastAsia="仿宋" w:cs="仿宋"/>
          <w:color w:val="000000" w:themeColor="text1"/>
          <w:kern w:val="0"/>
          <w:sz w:val="32"/>
          <w:szCs w:val="32"/>
          <w14:textFill>
            <w14:solidFill>
              <w14:schemeClr w14:val="tx1"/>
            </w14:solidFill>
          </w14:textFill>
        </w:rPr>
        <w:t xml:space="preserve">  价格鉴证评估服务项目野外核查、调查基础价格为单位面积调查所需费用，按照调查单位的范围面积计算；在最少的调查单位的范围面积内，设定最低基价。</w:t>
      </w:r>
    </w:p>
    <w:p>
      <w:pPr>
        <w:pStyle w:val="2"/>
        <w:shd w:val="clear" w:color="auto" w:fill="FFFFFF"/>
        <w:spacing w:before="0" w:beforeAutospacing="0" w:after="300" w:afterAutospacing="0"/>
        <w:ind w:firstLine="48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第二十九条</w:t>
      </w:r>
      <w:r>
        <w:rPr>
          <w:rFonts w:hint="eastAsia" w:ascii="仿宋" w:hAnsi="仿宋" w:eastAsia="仿宋" w:cs="仿宋"/>
          <w:color w:val="000000" w:themeColor="text1"/>
          <w:sz w:val="32"/>
          <w:szCs w:val="32"/>
          <w14:textFill>
            <w14:solidFill>
              <w14:schemeClr w14:val="tx1"/>
            </w14:solidFill>
          </w14:textFill>
        </w:rPr>
        <w:t xml:space="preserve">  价格鉴证评估目的的不同，相对纳入核查的标的物资产、产品数量、质量精度要求不一，需根据实际情况，对不同精度要求采用不同调查方法，并相应增加工作难度和工作量。增加的经费支出由双方协商解决。 </w:t>
      </w:r>
    </w:p>
    <w:p>
      <w:pPr>
        <w:widowControl/>
        <w:shd w:val="clear" w:color="auto" w:fill="FFFFFF"/>
        <w:jc w:val="center"/>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第五章 鉴定、咨询、论证相关收费</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第三十条</w:t>
      </w:r>
      <w:r>
        <w:rPr>
          <w:rFonts w:hint="eastAsia" w:ascii="仿宋" w:hAnsi="仿宋" w:eastAsia="仿宋" w:cs="仿宋"/>
          <w:color w:val="000000" w:themeColor="text1"/>
          <w:kern w:val="0"/>
          <w:sz w:val="32"/>
          <w:szCs w:val="32"/>
          <w14:textFill>
            <w14:solidFill>
              <w14:schemeClr w14:val="tx1"/>
            </w14:solidFill>
          </w14:textFill>
        </w:rPr>
        <w:t> 价格鉴证评估服务项目因特定或特殊原因，需要鉴定、认证、市场询价、专家咨询论证、异议处理，应根据具体情况收取必要的费用。国家有明确规定的，执行国家标准。</w:t>
      </w:r>
    </w:p>
    <w:p>
      <w:pPr>
        <w:widowControl/>
        <w:shd w:val="clear" w:color="auto" w:fill="FFFFFF"/>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b/>
          <w:color w:val="000000" w:themeColor="text1"/>
          <w:kern w:val="0"/>
          <w:sz w:val="32"/>
          <w:szCs w:val="32"/>
          <w14:textFill>
            <w14:solidFill>
              <w14:schemeClr w14:val="tx1"/>
            </w14:solidFill>
          </w14:textFill>
        </w:rPr>
        <w:t>第三十一条</w:t>
      </w:r>
      <w:r>
        <w:rPr>
          <w:rFonts w:hint="eastAsia" w:ascii="仿宋" w:hAnsi="仿宋" w:eastAsia="仿宋" w:cs="仿宋"/>
          <w:color w:val="000000" w:themeColor="text1"/>
          <w:kern w:val="0"/>
          <w:sz w:val="32"/>
          <w:szCs w:val="32"/>
          <w14:textFill>
            <w14:solidFill>
              <w14:schemeClr w14:val="tx1"/>
            </w14:solidFill>
          </w14:textFill>
        </w:rPr>
        <w:t> 价格鉴证评估服务项目对委评财物、物资，需要拆解、解析、查验认定，涉及对标的物破坏损失、恢复原貌产生的费用，可由双方另行协商加收费用额度和支付方式。</w:t>
      </w:r>
    </w:p>
    <w:p>
      <w:pPr>
        <w:widowControl/>
        <w:shd w:val="clear" w:color="auto" w:fill="FFFFFF"/>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b/>
          <w:color w:val="000000" w:themeColor="text1"/>
          <w:kern w:val="0"/>
          <w:sz w:val="32"/>
          <w:szCs w:val="32"/>
          <w14:textFill>
            <w14:solidFill>
              <w14:schemeClr w14:val="tx1"/>
            </w14:solidFill>
          </w14:textFill>
        </w:rPr>
        <w:t>第三十二条</w:t>
      </w:r>
      <w:r>
        <w:rPr>
          <w:rFonts w:hint="eastAsia" w:ascii="仿宋" w:hAnsi="仿宋" w:eastAsia="仿宋" w:cs="仿宋"/>
          <w:color w:val="000000" w:themeColor="text1"/>
          <w:kern w:val="0"/>
          <w:sz w:val="32"/>
          <w:szCs w:val="32"/>
          <w14:textFill>
            <w14:solidFill>
              <w14:schemeClr w14:val="tx1"/>
            </w14:solidFill>
          </w14:textFill>
        </w:rPr>
        <w:t> 价格鉴证评估额外需要对标的物真伪、质量、纯度、断代等进行鉴定，鉴定的程序、方法、措施不尽相同，较为复杂，由双方在规定的价格鉴证评估收费标准的基础上协商确定。</w:t>
      </w:r>
    </w:p>
    <w:p>
      <w:pPr>
        <w:widowControl/>
        <w:shd w:val="clear" w:color="auto" w:fill="FFFFFF"/>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b/>
          <w:color w:val="000000" w:themeColor="text1"/>
          <w:kern w:val="0"/>
          <w:sz w:val="32"/>
          <w:szCs w:val="32"/>
          <w14:textFill>
            <w14:solidFill>
              <w14:schemeClr w14:val="tx1"/>
            </w14:solidFill>
          </w14:textFill>
        </w:rPr>
        <w:t>第三十三条</w:t>
      </w:r>
      <w:r>
        <w:rPr>
          <w:rFonts w:hint="eastAsia" w:ascii="仿宋" w:hAnsi="仿宋" w:eastAsia="仿宋" w:cs="仿宋"/>
          <w:color w:val="000000" w:themeColor="text1"/>
          <w:kern w:val="0"/>
          <w:sz w:val="32"/>
          <w:szCs w:val="32"/>
          <w14:textFill>
            <w14:solidFill>
              <w14:schemeClr w14:val="tx1"/>
            </w14:solidFill>
          </w14:textFill>
        </w:rPr>
        <w:t xml:space="preserve"> 价格鉴证评估额外需要对野生动物标的物品种、名称进行鉴定，一般品种每一个品种收取鉴定费3000元；鉴定为国家二级、一级、濒危保护动物每一个品种收取鉴定费5000元。      </w:t>
      </w:r>
    </w:p>
    <w:p>
      <w:pPr>
        <w:widowControl/>
        <w:shd w:val="clear" w:color="auto" w:fill="FFFFFF"/>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b/>
          <w:color w:val="000000" w:themeColor="text1"/>
          <w:kern w:val="0"/>
          <w:sz w:val="32"/>
          <w:szCs w:val="32"/>
          <w14:textFill>
            <w14:solidFill>
              <w14:schemeClr w14:val="tx1"/>
            </w14:solidFill>
          </w14:textFill>
        </w:rPr>
        <w:t>第三十四条</w:t>
      </w:r>
      <w:r>
        <w:rPr>
          <w:rFonts w:hint="eastAsia" w:ascii="仿宋" w:hAnsi="仿宋" w:eastAsia="仿宋" w:cs="仿宋"/>
          <w:color w:val="000000" w:themeColor="text1"/>
          <w:kern w:val="0"/>
          <w:sz w:val="32"/>
          <w:szCs w:val="32"/>
          <w14:textFill>
            <w14:solidFill>
              <w14:schemeClr w14:val="tx1"/>
            </w14:solidFill>
          </w14:textFill>
        </w:rPr>
        <w:t xml:space="preserve"> 价格鉴证评估服务项目对委评财物、物资，需要市场询价的，按单一标的单一规格3个以上参照物基础，收取咨询费2000元。单一标的每增加一个参照物，加收500元；单一标的中每增加1个规格，加收50元。  </w:t>
      </w:r>
    </w:p>
    <w:p>
      <w:pPr>
        <w:widowControl/>
        <w:shd w:val="clear" w:color="auto" w:fill="FFFFFF"/>
        <w:ind w:firstLine="320" w:firstLineChars="100"/>
        <w:jc w:val="left"/>
        <w:rPr>
          <w:rFonts w:ascii="仿宋" w:hAnsi="仿宋" w:eastAsia="仿宋" w:cs="仿宋"/>
          <w:color w:val="383838"/>
          <w:kern w:val="0"/>
          <w:sz w:val="32"/>
          <w:szCs w:val="32"/>
        </w:rPr>
      </w:pPr>
      <w:r>
        <w:rPr>
          <w:rFonts w:hint="eastAsia" w:ascii="仿宋" w:hAnsi="仿宋" w:eastAsia="仿宋" w:cs="仿宋"/>
          <w:color w:val="000000" w:themeColor="text1"/>
          <w:kern w:val="0"/>
          <w:sz w:val="32"/>
          <w:szCs w:val="32"/>
          <w14:textFill>
            <w14:solidFill>
              <w14:schemeClr w14:val="tx1"/>
            </w14:solidFill>
          </w14:textFill>
        </w:rPr>
        <w:t> </w:t>
      </w:r>
      <w:r>
        <w:rPr>
          <w:rFonts w:hint="eastAsia" w:ascii="仿宋" w:hAnsi="仿宋" w:eastAsia="仿宋" w:cs="仿宋"/>
          <w:b/>
          <w:color w:val="000000" w:themeColor="text1"/>
          <w:kern w:val="0"/>
          <w:sz w:val="32"/>
          <w:szCs w:val="32"/>
          <w14:textFill>
            <w14:solidFill>
              <w14:schemeClr w14:val="tx1"/>
            </w14:solidFill>
          </w14:textFill>
        </w:rPr>
        <w:t>第三十五条</w:t>
      </w:r>
      <w:r>
        <w:rPr>
          <w:rFonts w:hint="eastAsia" w:ascii="仿宋" w:hAnsi="仿宋" w:eastAsia="仿宋" w:cs="仿宋"/>
          <w:color w:val="000000" w:themeColor="text1"/>
          <w:kern w:val="0"/>
          <w:sz w:val="32"/>
          <w:szCs w:val="32"/>
          <w14:textFill>
            <w14:solidFill>
              <w14:schemeClr w14:val="tx1"/>
            </w14:solidFill>
          </w14:textFill>
        </w:rPr>
        <w:t> 价格鉴证评估服务项目需要咨询专家或聘请专家一般性评审、论证的，按价格鉴证评估计时标准</w:t>
      </w:r>
      <w:r>
        <w:rPr>
          <w:rFonts w:hint="eastAsia" w:ascii="仿宋" w:hAnsi="仿宋" w:eastAsia="仿宋" w:cs="仿宋"/>
          <w:color w:val="383838"/>
          <w:kern w:val="0"/>
          <w:sz w:val="32"/>
          <w:szCs w:val="32"/>
        </w:rPr>
        <w:t>支付劳务报酬。</w:t>
      </w:r>
    </w:p>
    <w:p>
      <w:pPr>
        <w:widowControl/>
        <w:shd w:val="clear" w:color="auto" w:fill="FFFFFF"/>
        <w:ind w:firstLine="320" w:firstLineChars="100"/>
        <w:jc w:val="left"/>
        <w:rPr>
          <w:rFonts w:ascii="仿宋" w:hAnsi="仿宋" w:eastAsia="仿宋" w:cs="仿宋"/>
          <w:color w:val="383838"/>
          <w:kern w:val="0"/>
          <w:sz w:val="32"/>
          <w:szCs w:val="32"/>
        </w:rPr>
      </w:pPr>
      <w:r>
        <w:rPr>
          <w:rFonts w:hint="eastAsia" w:ascii="仿宋" w:hAnsi="仿宋" w:eastAsia="仿宋" w:cs="仿宋"/>
          <w:color w:val="383838"/>
          <w:kern w:val="0"/>
          <w:sz w:val="32"/>
          <w:szCs w:val="32"/>
        </w:rPr>
        <w:t xml:space="preserve"> </w:t>
      </w:r>
      <w:r>
        <w:rPr>
          <w:rFonts w:hint="eastAsia" w:ascii="仿宋" w:hAnsi="仿宋" w:eastAsia="仿宋" w:cs="仿宋"/>
          <w:color w:val="000000" w:themeColor="text1"/>
          <w:kern w:val="0"/>
          <w:sz w:val="32"/>
          <w:szCs w:val="32"/>
          <w14:textFill>
            <w14:solidFill>
              <w14:schemeClr w14:val="tx1"/>
            </w14:solidFill>
          </w14:textFill>
        </w:rPr>
        <w:t>价格鉴证评估服务项目需要咨询专家或聘请专家进行技术鉴定、技术质量性论证的，在按价格鉴证评估计时标准</w:t>
      </w:r>
      <w:r>
        <w:rPr>
          <w:rFonts w:hint="eastAsia" w:ascii="仿宋" w:hAnsi="仿宋" w:eastAsia="仿宋" w:cs="仿宋"/>
          <w:color w:val="383838"/>
          <w:kern w:val="0"/>
          <w:sz w:val="32"/>
          <w:szCs w:val="32"/>
        </w:rPr>
        <w:t>支付劳务报酬基础上，每小时增加100元。</w:t>
      </w:r>
    </w:p>
    <w:p>
      <w:pPr>
        <w:widowControl/>
        <w:shd w:val="clear" w:color="auto" w:fill="FFFFFF"/>
        <w:ind w:firstLine="56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第三十六条</w:t>
      </w:r>
      <w:r>
        <w:rPr>
          <w:rFonts w:hint="eastAsia" w:ascii="仿宋" w:hAnsi="仿宋" w:eastAsia="仿宋" w:cs="仿宋"/>
          <w:color w:val="383838"/>
          <w:kern w:val="0"/>
          <w:sz w:val="32"/>
          <w:szCs w:val="32"/>
        </w:rPr>
        <w:t xml:space="preserve">  </w:t>
      </w:r>
      <w:r>
        <w:rPr>
          <w:rFonts w:hint="eastAsia" w:ascii="仿宋" w:hAnsi="仿宋" w:eastAsia="仿宋" w:cs="仿宋"/>
          <w:color w:val="000000" w:themeColor="text1"/>
          <w:kern w:val="0"/>
          <w:sz w:val="32"/>
          <w:szCs w:val="32"/>
          <w14:textFill>
            <w14:solidFill>
              <w14:schemeClr w14:val="tx1"/>
            </w14:solidFill>
          </w14:textFill>
        </w:rPr>
        <w:t>价格鉴证评估服务项目委托人或当事人提出异议，需要专家委员会处理、复议的，按价格鉴证评估服务项目应实际收取的评估费用的50%收取，收取的费用不足5000元的，按5000元收取。</w:t>
      </w:r>
    </w:p>
    <w:p>
      <w:pPr>
        <w:widowControl/>
        <w:shd w:val="clear" w:color="auto" w:fill="FFFFFF"/>
        <w:ind w:firstLine="560"/>
        <w:jc w:val="left"/>
        <w:rPr>
          <w:rFonts w:ascii="仿宋" w:hAnsi="仿宋" w:eastAsia="仿宋" w:cs="仿宋"/>
          <w:sz w:val="32"/>
          <w:szCs w:val="32"/>
        </w:rPr>
      </w:pPr>
      <w:r>
        <w:rPr>
          <w:rFonts w:hint="eastAsia" w:ascii="仿宋" w:hAnsi="仿宋" w:eastAsia="仿宋" w:cs="仿宋"/>
          <w:color w:val="000000" w:themeColor="text1"/>
          <w:kern w:val="0"/>
          <w:sz w:val="32"/>
          <w:szCs w:val="32"/>
          <w14:textFill>
            <w14:solidFill>
              <w14:schemeClr w14:val="tx1"/>
            </w14:solidFill>
          </w14:textFill>
        </w:rPr>
        <w:t>专家委员会处理复议涉及现场核查，另收取调查费；需要重新鉴定或组织专家论证的，另收取费用。</w:t>
      </w:r>
    </w:p>
    <w:p>
      <w:pPr>
        <w:widowControl/>
        <w:shd w:val="clear" w:color="auto" w:fill="FFFFFF"/>
        <w:jc w:val="center"/>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第六章  附则</w:t>
      </w:r>
    </w:p>
    <w:p>
      <w:pPr>
        <w:widowControl/>
        <w:shd w:val="clear" w:color="auto" w:fill="FFFFFF"/>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b/>
          <w:color w:val="000000" w:themeColor="text1"/>
          <w:kern w:val="0"/>
          <w:sz w:val="32"/>
          <w:szCs w:val="32"/>
          <w14:textFill>
            <w14:solidFill>
              <w14:schemeClr w14:val="tx1"/>
            </w14:solidFill>
          </w14:textFill>
        </w:rPr>
        <w:t>第三十七条</w:t>
      </w:r>
      <w:r>
        <w:rPr>
          <w:rFonts w:hint="eastAsia" w:ascii="仿宋" w:hAnsi="仿宋" w:eastAsia="仿宋" w:cs="仿宋"/>
          <w:color w:val="000000" w:themeColor="text1"/>
          <w:kern w:val="0"/>
          <w:sz w:val="32"/>
          <w:szCs w:val="32"/>
          <w14:textFill>
            <w14:solidFill>
              <w14:schemeClr w14:val="tx1"/>
            </w14:solidFill>
          </w14:textFill>
        </w:rPr>
        <w:t>  市场物价波动较大的，调整系数由委托方与价格评估机构根据委评财物、物资标的物野外核查、调查实际情况协商确定。</w:t>
      </w:r>
    </w:p>
    <w:p>
      <w:pPr>
        <w:widowControl/>
        <w:shd w:val="clear" w:color="auto" w:fill="FFFFFF"/>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b/>
          <w:color w:val="000000" w:themeColor="text1"/>
          <w:kern w:val="0"/>
          <w:sz w:val="32"/>
          <w:szCs w:val="32"/>
          <w14:textFill>
            <w14:solidFill>
              <w14:schemeClr w14:val="tx1"/>
            </w14:solidFill>
          </w14:textFill>
        </w:rPr>
        <w:t>第三十八条</w:t>
      </w:r>
      <w:r>
        <w:rPr>
          <w:rFonts w:hint="eastAsia" w:ascii="仿宋" w:hAnsi="仿宋" w:eastAsia="仿宋" w:cs="仿宋"/>
          <w:color w:val="000000" w:themeColor="text1"/>
          <w:kern w:val="0"/>
          <w:sz w:val="32"/>
          <w:szCs w:val="32"/>
          <w14:textFill>
            <w14:solidFill>
              <w14:schemeClr w14:val="tx1"/>
            </w14:solidFill>
          </w14:textFill>
        </w:rPr>
        <w:t xml:space="preserve">  调整系数主要是考虑野外作业工作量及复杂程度。包括地形、林地类型、交通、气候、海拔等情况。专业调整系数在3个以上的，将各调整系数相加，作为调整系数值。</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第三十九条</w:t>
      </w:r>
      <w:r>
        <w:rPr>
          <w:rFonts w:hint="eastAsia" w:ascii="仿宋" w:hAnsi="仿宋" w:eastAsia="仿宋" w:cs="仿宋"/>
          <w:color w:val="000000" w:themeColor="text1"/>
          <w:kern w:val="0"/>
          <w:sz w:val="32"/>
          <w:szCs w:val="32"/>
          <w14:textFill>
            <w14:solidFill>
              <w14:schemeClr w14:val="tx1"/>
            </w14:solidFill>
          </w14:textFill>
        </w:rPr>
        <w:t>  委托方应按价格鉴证评估项目进度分期支付费用。在合同签订之日，支付项目费用总额的50%；提交价格鉴证评估报告时，或者完成项目全部成果时，结清全部费用。</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 xml:space="preserve">第四十条  </w:t>
      </w:r>
      <w:r>
        <w:rPr>
          <w:rFonts w:hint="eastAsia" w:ascii="仿宋" w:hAnsi="仿宋" w:eastAsia="仿宋" w:cs="仿宋"/>
          <w:color w:val="000000" w:themeColor="text1"/>
          <w:kern w:val="0"/>
          <w:sz w:val="32"/>
          <w:szCs w:val="32"/>
          <w14:textFill>
            <w14:solidFill>
              <w14:schemeClr w14:val="tx1"/>
            </w14:solidFill>
          </w14:textFill>
        </w:rPr>
        <w:t>价格鉴证评估服务项目收费应遵守国家法律、法规和行业行为准则，开展公平竞争，不得采取不正当手段承揽业务。</w:t>
      </w:r>
    </w:p>
    <w:p>
      <w:pPr>
        <w:widowControl/>
        <w:shd w:val="clear" w:color="auto" w:fill="FFFFFF"/>
        <w:ind w:firstLine="643"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第四十一条</w:t>
      </w:r>
      <w:r>
        <w:rPr>
          <w:rFonts w:hint="eastAsia" w:ascii="仿宋" w:hAnsi="仿宋" w:eastAsia="仿宋" w:cs="仿宋"/>
          <w:color w:val="000000" w:themeColor="text1"/>
          <w:kern w:val="0"/>
          <w:sz w:val="32"/>
          <w:szCs w:val="32"/>
          <w14:textFill>
            <w14:solidFill>
              <w14:schemeClr w14:val="tx1"/>
            </w14:solidFill>
          </w14:textFill>
        </w:rPr>
        <w:t>  本《意见》中确定的收费价格为参考价。具体收费标准由委托方与价格评估机构协商确定。</w:t>
      </w:r>
    </w:p>
    <w:p>
      <w:pPr>
        <w:ind w:firstLine="643" w:firstLineChars="200"/>
      </w:pPr>
      <w:r>
        <w:rPr>
          <w:rFonts w:hint="eastAsia" w:ascii="仿宋" w:hAnsi="仿宋" w:eastAsia="仿宋" w:cs="仿宋"/>
          <w:b/>
          <w:color w:val="000000" w:themeColor="text1"/>
          <w:kern w:val="0"/>
          <w:sz w:val="32"/>
          <w:szCs w:val="32"/>
          <w14:textFill>
            <w14:solidFill>
              <w14:schemeClr w14:val="tx1"/>
            </w14:solidFill>
          </w14:textFill>
        </w:rPr>
        <w:t xml:space="preserve">第四十二条 </w:t>
      </w:r>
      <w:r>
        <w:rPr>
          <w:rFonts w:hint="eastAsia" w:ascii="仿宋" w:hAnsi="仿宋" w:eastAsia="仿宋" w:cs="仿宋"/>
          <w:color w:val="000000" w:themeColor="text1"/>
          <w:kern w:val="0"/>
          <w:sz w:val="32"/>
          <w:szCs w:val="32"/>
          <w14:textFill>
            <w14:solidFill>
              <w14:schemeClr w14:val="tx1"/>
            </w14:solidFill>
          </w14:textFill>
        </w:rPr>
        <w:t> 价格鉴证评估服务项目中，咨询单位提供自由专利、专有技术，需要另行支付费用的，凡国家有规定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textAlignment w:val="auto"/>
        <w:rPr>
          <w:rFonts w:hint="eastAsia" w:ascii="仿宋" w:hAnsi="仿宋" w:eastAsia="仿宋" w:cs="仿宋"/>
          <w:sz w:val="31"/>
          <w:szCs w:val="31"/>
          <w:shd w:val="clear" w:fill="FFFFFF"/>
          <w:lang w:val="en-US" w:eastAsia="zh-CN"/>
        </w:rPr>
      </w:pPr>
      <w:r>
        <w:rPr>
          <w:rFonts w:hint="eastAsia" w:ascii="仿宋" w:hAnsi="仿宋" w:eastAsia="仿宋" w:cs="仿宋"/>
          <w:sz w:val="31"/>
          <w:szCs w:val="31"/>
          <w:shd w:val="clear" w:fill="FFFFFF"/>
          <w:lang w:val="en-US" w:eastAsia="zh-CN"/>
        </w:rPr>
        <w:t>的，按国家规定执行；没有规定的，由双方协商费用额度和支付方式。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620"/>
        <w:textAlignment w:val="auto"/>
        <w:rPr>
          <w:rFonts w:hint="eastAsia" w:ascii="仿宋" w:hAnsi="仿宋" w:eastAsia="仿宋" w:cs="仿宋"/>
          <w:b w:val="0"/>
          <w:bCs/>
          <w:color w:val="000000" w:themeColor="text1"/>
          <w:kern w:val="0"/>
          <w:sz w:val="32"/>
          <w:szCs w:val="32"/>
          <w:lang w:val="en-US" w:eastAsia="zh-CN"/>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第四十</w:t>
      </w:r>
      <w:r>
        <w:rPr>
          <w:rFonts w:hint="eastAsia" w:ascii="仿宋" w:hAnsi="仿宋" w:eastAsia="仿宋" w:cs="仿宋"/>
          <w:b/>
          <w:color w:val="000000" w:themeColor="text1"/>
          <w:kern w:val="0"/>
          <w:sz w:val="32"/>
          <w:szCs w:val="32"/>
          <w:lang w:val="en-US" w:eastAsia="zh-CN"/>
          <w14:textFill>
            <w14:solidFill>
              <w14:schemeClr w14:val="tx1"/>
            </w14:solidFill>
          </w14:textFill>
        </w:rPr>
        <w:t>三</w:t>
      </w:r>
      <w:r>
        <w:rPr>
          <w:rFonts w:hint="eastAsia" w:ascii="仿宋" w:hAnsi="仿宋" w:eastAsia="仿宋" w:cs="仿宋"/>
          <w:b/>
          <w:color w:val="000000" w:themeColor="text1"/>
          <w:kern w:val="0"/>
          <w:sz w:val="32"/>
          <w:szCs w:val="32"/>
          <w14:textFill>
            <w14:solidFill>
              <w14:schemeClr w14:val="tx1"/>
            </w14:solidFill>
          </w14:textFill>
        </w:rPr>
        <w:t>条</w:t>
      </w:r>
      <w:r>
        <w:rPr>
          <w:rFonts w:hint="eastAsia" w:ascii="仿宋" w:hAnsi="仿宋" w:eastAsia="仿宋" w:cs="仿宋"/>
          <w:b/>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b w:val="0"/>
          <w:bCs/>
          <w:color w:val="000000" w:themeColor="text1"/>
          <w:kern w:val="0"/>
          <w:sz w:val="32"/>
          <w:szCs w:val="32"/>
          <w:lang w:val="en-US" w:eastAsia="zh-CN"/>
          <w14:textFill>
            <w14:solidFill>
              <w14:schemeClr w14:val="tx1"/>
            </w14:solidFill>
          </w14:textFill>
        </w:rPr>
        <w:t>本《意见》由吉林省价格鉴证与评估协会负责解释。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620"/>
        <w:textAlignment w:val="auto"/>
        <w:rPr>
          <w:rFonts w:hint="default" w:ascii="仿宋" w:hAnsi="仿宋" w:eastAsia="仿宋" w:cs="仿宋"/>
          <w:b w:val="0"/>
          <w:bCs/>
          <w:color w:val="000000" w:themeColor="text1"/>
          <w:kern w:val="0"/>
          <w:sz w:val="32"/>
          <w:szCs w:val="32"/>
          <w:lang w:val="en-US" w:eastAsia="zh-CN"/>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第四十</w:t>
      </w:r>
      <w:r>
        <w:rPr>
          <w:rFonts w:hint="eastAsia" w:ascii="仿宋" w:hAnsi="仿宋" w:eastAsia="仿宋" w:cs="仿宋"/>
          <w:b/>
          <w:color w:val="000000" w:themeColor="text1"/>
          <w:kern w:val="0"/>
          <w:sz w:val="32"/>
          <w:szCs w:val="32"/>
          <w:lang w:val="en-US" w:eastAsia="zh-CN"/>
          <w14:textFill>
            <w14:solidFill>
              <w14:schemeClr w14:val="tx1"/>
            </w14:solidFill>
          </w14:textFill>
        </w:rPr>
        <w:t>四</w:t>
      </w:r>
      <w:r>
        <w:rPr>
          <w:rFonts w:hint="eastAsia" w:ascii="仿宋" w:hAnsi="仿宋" w:eastAsia="仿宋" w:cs="仿宋"/>
          <w:b/>
          <w:color w:val="000000" w:themeColor="text1"/>
          <w:kern w:val="0"/>
          <w:sz w:val="32"/>
          <w:szCs w:val="32"/>
          <w14:textFill>
            <w14:solidFill>
              <w14:schemeClr w14:val="tx1"/>
            </w14:solidFill>
          </w14:textFill>
        </w:rPr>
        <w:t>条</w:t>
      </w:r>
      <w:r>
        <w:rPr>
          <w:rFonts w:hint="eastAsia" w:ascii="仿宋" w:hAnsi="仿宋" w:eastAsia="仿宋" w:cs="仿宋"/>
          <w:b/>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b w:val="0"/>
          <w:bCs/>
          <w:color w:val="000000" w:themeColor="text1"/>
          <w:kern w:val="0"/>
          <w:sz w:val="32"/>
          <w:szCs w:val="32"/>
          <w:lang w:val="en-US" w:eastAsia="zh-CN"/>
          <w14:textFill>
            <w14:solidFill>
              <w14:schemeClr w14:val="tx1"/>
            </w14:solidFill>
          </w14:textFill>
        </w:rPr>
        <w:t>本《意见》2019年7月26日起施行。</w:t>
      </w: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32DAA"/>
    <w:rsid w:val="05817D9D"/>
    <w:rsid w:val="4A732DAA"/>
    <w:rsid w:val="53F04A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5068</Words>
  <Characters>5820</Characters>
  <Lines>0</Lines>
  <Paragraphs>0</Paragraphs>
  <TotalTime>5</TotalTime>
  <ScaleCrop>false</ScaleCrop>
  <LinksUpToDate>false</LinksUpToDate>
  <CharactersWithSpaces>5996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2019-09-19T01:49:00Z</dcterms:created>
  <dc:creator>带刺的玫瑰</dc:creator>
  <cp:lastModifiedBy>田秋颖</cp:lastModifiedBy>
  <dcterms:modified xsi:type="dcterms:W3CDTF">2020-07-14T08:11:12Z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