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240" w:lineRule="auto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>
      <w:pPr>
        <w:pStyle w:val="4"/>
        <w:spacing w:before="0" w:beforeAutospacing="0" w:after="0" w:afterAutospacing="0" w:line="24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44"/>
          <w:szCs w:val="44"/>
        </w:rPr>
        <w:t>吉林省价格鉴证与评估协会</w:t>
      </w:r>
    </w:p>
    <w:p>
      <w:pPr>
        <w:pStyle w:val="4"/>
        <w:spacing w:before="0" w:beforeAutospacing="0" w:after="0" w:afterAutospacing="0" w:line="240" w:lineRule="auto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《财务管理制度》</w:t>
      </w:r>
    </w:p>
    <w:p>
      <w:pPr>
        <w:pStyle w:val="4"/>
        <w:spacing w:before="0" w:beforeAutospacing="0" w:after="0" w:afterAutospacing="0" w:line="240" w:lineRule="auto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为加强协会财务管理，根据国家有关法律、法规及建设局财务制度，结合协会具体情况，制定本制度。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一、财务管理工作必须在加强宏观控制和微观搞活的基础上，严格执行财经纪律，以提高协会的工作效力。财务管理工作要勤俭节约、精打细算、降低消耗，增加积累。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财会人员协助秘书长管理好财务会计工作。财会人员都要认真执行岗位责任制，各司其职，互相配合，如实反映和严格监督各项经济活动。记帐、算帐、报帐必须做到手续完备、内容真实、数字准确、帐目清楚、日清月结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三、财会人员在办理会计事务中，必须坚持原则，照章办事。对于违反财经纪律和财务制度的事项，必须拒绝付款、拒绝报销或拒绝执行，并及时向秘书长报告。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财会人员力求稳定，不随便调动。财务人员调动工作或因故离职，必须与接替人员办理交接手续，没有办清交接手续的，不得离职，亦不得中断会计工作。移交交接包括移交人经管的会计凭证、报表、帐目、款项、公章、实物及未了事项等。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五、严格执行《中华人民共和国会计法》、《会计人员职权条例》、《会计人员工作规则》等法律法规关于会计核算一般原则、会计凭证和帐簿、内部审计和财产清查、成本清查等事项的规定。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六、财务部门要加强对资产、资金、现金及费用开支的管理，防止损失，杜绝浪费，良好运用。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七、银行帐户必须遵守银行的规定开设和使用。银行帐户只供本协会业务收支结算使用，严禁借帐户供外单位或个人使用。银行帐户印鉴的使用实行分管并用制，即财务章由出纳保管，法人代表和会计私章由会计保管，不准由一人统一保管使用。印鉴保管人临时出差由其委托他人代管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八、根据规定已获批准的事项付款，不得改变支付方式和用途。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九、库存现金不得超过限额，不得以白条抵作现金。现金收支做到日清月结，确保库存现金的帐面余款与实际库存额相符，银行存款余款与银行对帐单相符。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十、因公出差、经秘书长批准借支公款，应在回单位后七天内交清，不得拖欠。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十一、领用空白支票必须注明限额、日期、用途及使用期限、并报会长报批。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十二、未经会长批准，严禁为外单位（含合资、合作企业）或个人担保贷款。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十三、自觉接受上级主管、财政、税务等部门的检查指导，并按其要求不断完善制度、改进工作。　 </w:t>
      </w:r>
    </w:p>
    <w:p>
      <w:pPr>
        <w:pStyle w:val="4"/>
        <w:spacing w:before="0" w:beforeAutospacing="0" w:after="0" w:afterAutospacing="0" w:line="240" w:lineRule="auto"/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187B"/>
    <w:rsid w:val="002F187B"/>
    <w:rsid w:val="006266FC"/>
    <w:rsid w:val="0089057F"/>
    <w:rsid w:val="009A6C66"/>
    <w:rsid w:val="00DD05EA"/>
    <w:rsid w:val="0D787126"/>
    <w:rsid w:val="5140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 w:line="432" w:lineRule="auto"/>
      <w:jc w:val="left"/>
    </w:pPr>
    <w:rPr>
      <w:rFonts w:ascii="ˎ̥" w:hAnsi="ˎ̥" w:cs="宋体"/>
      <w:color w:val="222222"/>
      <w:kern w:val="0"/>
      <w:sz w:val="22"/>
      <w:szCs w:val="22"/>
    </w:rPr>
  </w:style>
  <w:style w:type="character" w:styleId="7">
    <w:name w:val="page number"/>
    <w:basedOn w:val="6"/>
    <w:uiPriority w:val="0"/>
  </w:style>
  <w:style w:type="character" w:customStyle="1" w:styleId="8">
    <w:name w:val="页脚 Char"/>
    <w:basedOn w:val="6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</Words>
  <Characters>802</Characters>
  <Lines>6</Lines>
  <Paragraphs>1</Paragraphs>
  <TotalTime>6</TotalTime>
  <ScaleCrop>false</ScaleCrop>
  <LinksUpToDate>false</LinksUpToDate>
  <CharactersWithSpaces>941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2018-11-07T10:43:00Z</dcterms:created>
  <dc:creator>admin</dc:creator>
  <cp:lastModifiedBy>孙明曦</cp:lastModifiedBy>
  <dcterms:modified xsi:type="dcterms:W3CDTF">2019-07-29T03:14:38Z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